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097" w:rsidRDefault="009C7FEC">
      <w:pPr>
        <w:spacing w:line="360" w:lineRule="auto"/>
        <w:ind w:firstLineChars="200" w:firstLine="562"/>
        <w:jc w:val="left"/>
        <w:rPr>
          <w:rFonts w:eastAsia="仿宋_GB2312"/>
          <w:kern w:val="0"/>
          <w:sz w:val="30"/>
          <w:szCs w:val="30"/>
        </w:rPr>
      </w:pPr>
      <w:r>
        <w:rPr>
          <w:rFonts w:ascii="仿宋_GB2312" w:eastAsia="仿宋_GB2312" w:hAnsi="宋体" w:cs="宋体" w:hint="eastAsia"/>
          <w:b/>
          <w:kern w:val="0"/>
          <w:sz w:val="28"/>
          <w:szCs w:val="28"/>
        </w:rPr>
        <w:t>附表</w:t>
      </w:r>
      <w:r>
        <w:rPr>
          <w:rFonts w:ascii="仿宋_GB2312" w:eastAsia="仿宋_GB2312" w:hAnsi="宋体" w:cs="宋体" w:hint="eastAsia"/>
          <w:b/>
          <w:kern w:val="0"/>
          <w:sz w:val="28"/>
          <w:szCs w:val="28"/>
        </w:rPr>
        <w:t>1</w:t>
      </w:r>
    </w:p>
    <w:p w:rsidR="00C21097" w:rsidRDefault="009C7FEC">
      <w:pPr>
        <w:jc w:val="center"/>
        <w:rPr>
          <w:rFonts w:ascii="黑体" w:eastAsia="黑体"/>
          <w:b/>
          <w:sz w:val="30"/>
        </w:rPr>
      </w:pPr>
      <w:r>
        <w:rPr>
          <w:rFonts w:ascii="黑体" w:eastAsia="黑体" w:hint="eastAsia"/>
          <w:b/>
          <w:sz w:val="30"/>
        </w:rPr>
        <w:t>协会标准项目建议书</w:t>
      </w:r>
    </w:p>
    <w:tbl>
      <w:tblPr>
        <w:tblW w:w="9098"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76"/>
        <w:gridCol w:w="1080"/>
        <w:gridCol w:w="450"/>
        <w:gridCol w:w="450"/>
        <w:gridCol w:w="656"/>
        <w:gridCol w:w="502"/>
        <w:gridCol w:w="1549"/>
        <w:gridCol w:w="67"/>
        <w:gridCol w:w="1307"/>
        <w:gridCol w:w="1561"/>
      </w:tblGrid>
      <w:tr w:rsidR="00C21097">
        <w:trPr>
          <w:trHeight w:val="1072"/>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pStyle w:val="a6"/>
              <w:pBdr>
                <w:bottom w:val="none" w:sz="0" w:space="0" w:color="auto"/>
              </w:pBdr>
              <w:tabs>
                <w:tab w:val="left" w:pos="420"/>
              </w:tabs>
              <w:snapToGrid/>
              <w:jc w:val="both"/>
              <w:rPr>
                <w:szCs w:val="24"/>
              </w:rPr>
            </w:pPr>
            <w:r>
              <w:rPr>
                <w:rFonts w:hint="eastAsia"/>
                <w:szCs w:val="24"/>
              </w:rPr>
              <w:t>建议项目名称</w:t>
            </w:r>
          </w:p>
          <w:p w:rsidR="00C21097" w:rsidRDefault="009C7FEC">
            <w:pPr>
              <w:ind w:hanging="13"/>
              <w:rPr>
                <w:sz w:val="18"/>
              </w:rPr>
            </w:pPr>
            <w:r>
              <w:rPr>
                <w:sz w:val="18"/>
              </w:rPr>
              <w:t>(</w:t>
            </w:r>
            <w:r>
              <w:rPr>
                <w:rFonts w:hint="eastAsia"/>
                <w:sz w:val="18"/>
              </w:rPr>
              <w:t>中文</w:t>
            </w:r>
            <w:r>
              <w:rPr>
                <w:sz w:val="18"/>
              </w:rPr>
              <w:t>)</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C21097" w:rsidRDefault="009C7FEC">
            <w:pPr>
              <w:rPr>
                <w:sz w:val="18"/>
                <w:szCs w:val="18"/>
              </w:rPr>
            </w:pPr>
            <w:r>
              <w:rPr>
                <w:rFonts w:hint="eastAsia"/>
                <w:sz w:val="18"/>
                <w:szCs w:val="18"/>
              </w:rPr>
              <w:t>建筑材料企业价值链温室气体排放核算与报告指南</w:t>
            </w:r>
          </w:p>
        </w:tc>
        <w:tc>
          <w:tcPr>
            <w:tcW w:w="1549"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szCs w:val="18"/>
              </w:rPr>
            </w:pPr>
            <w:r>
              <w:rPr>
                <w:rFonts w:hint="eastAsia"/>
                <w:sz w:val="18"/>
                <w:szCs w:val="18"/>
              </w:rPr>
              <w:t>建议项目名称</w:t>
            </w:r>
          </w:p>
          <w:p w:rsidR="00C21097" w:rsidRDefault="009C7FEC">
            <w:pPr>
              <w:rPr>
                <w:sz w:val="15"/>
              </w:rPr>
            </w:pPr>
            <w:r>
              <w:rPr>
                <w:sz w:val="18"/>
                <w:szCs w:val="18"/>
              </w:rPr>
              <w:t>(</w:t>
            </w:r>
            <w:r>
              <w:rPr>
                <w:rFonts w:hint="eastAsia"/>
                <w:sz w:val="18"/>
                <w:szCs w:val="18"/>
              </w:rPr>
              <w:t>英文</w:t>
            </w:r>
            <w:r>
              <w:rPr>
                <w:sz w:val="18"/>
                <w:szCs w:val="18"/>
              </w:rPr>
              <w:t>)</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C21097" w:rsidRDefault="009C7FEC">
            <w:r>
              <w:rPr>
                <w:rFonts w:hint="eastAsia"/>
                <w:sz w:val="18"/>
                <w:szCs w:val="18"/>
              </w:rPr>
              <w:t>B</w:t>
            </w:r>
            <w:r>
              <w:rPr>
                <w:sz w:val="18"/>
                <w:szCs w:val="18"/>
              </w:rPr>
              <w:t xml:space="preserve">uilding </w:t>
            </w:r>
            <w:r>
              <w:rPr>
                <w:rFonts w:hint="eastAsia"/>
                <w:sz w:val="18"/>
                <w:szCs w:val="18"/>
              </w:rPr>
              <w:t>M</w:t>
            </w:r>
            <w:r>
              <w:rPr>
                <w:sz w:val="18"/>
                <w:szCs w:val="18"/>
              </w:rPr>
              <w:t xml:space="preserve">aterials </w:t>
            </w:r>
            <w:r>
              <w:rPr>
                <w:rFonts w:hint="eastAsia"/>
                <w:sz w:val="18"/>
                <w:szCs w:val="18"/>
              </w:rPr>
              <w:t>I</w:t>
            </w:r>
            <w:r>
              <w:rPr>
                <w:sz w:val="18"/>
                <w:szCs w:val="18"/>
              </w:rPr>
              <w:t>ndustry Value chain (Scope 3)</w:t>
            </w:r>
            <w:r>
              <w:rPr>
                <w:rFonts w:hint="eastAsia"/>
                <w:sz w:val="18"/>
                <w:szCs w:val="18"/>
              </w:rPr>
              <w:t xml:space="preserve"> </w:t>
            </w:r>
            <w:r>
              <w:rPr>
                <w:sz w:val="18"/>
                <w:szCs w:val="18"/>
              </w:rPr>
              <w:t>GHG</w:t>
            </w:r>
            <w:r>
              <w:rPr>
                <w:rFonts w:hint="eastAsia"/>
                <w:sz w:val="18"/>
                <w:szCs w:val="18"/>
              </w:rPr>
              <w:t xml:space="preserve"> </w:t>
            </w:r>
            <w:r>
              <w:rPr>
                <w:sz w:val="18"/>
                <w:szCs w:val="18"/>
              </w:rPr>
              <w:t>Accounting and Reporting Guidance</w:t>
            </w:r>
          </w:p>
        </w:tc>
      </w:tr>
      <w:tr w:rsidR="00C21097">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制定或修订</w:t>
            </w: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Wingdings 2" w:hAnsi="Wingdings 2"/>
                <w:szCs w:val="21"/>
              </w:rPr>
              <w:t></w:t>
            </w:r>
            <w:r>
              <w:rPr>
                <w:rFonts w:hint="eastAsia"/>
                <w:sz w:val="18"/>
              </w:rPr>
              <w:t>制定</w:t>
            </w:r>
          </w:p>
        </w:tc>
        <w:tc>
          <w:tcPr>
            <w:tcW w:w="1608" w:type="dxa"/>
            <w:gridSpan w:val="3"/>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宋体" w:hAnsi="宋体" w:hint="eastAsia"/>
                <w:szCs w:val="21"/>
              </w:rPr>
              <w:t>□</w:t>
            </w:r>
            <w:r>
              <w:rPr>
                <w:rFonts w:hint="eastAsia"/>
                <w:sz w:val="18"/>
              </w:rPr>
              <w:t>修订</w:t>
            </w:r>
          </w:p>
        </w:tc>
        <w:tc>
          <w:tcPr>
            <w:tcW w:w="1549"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被修订标准号</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无</w:t>
            </w:r>
          </w:p>
        </w:tc>
      </w:tr>
      <w:tr w:rsidR="00C21097">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采用程度</w:t>
            </w:r>
          </w:p>
        </w:tc>
        <w:tc>
          <w:tcPr>
            <w:tcW w:w="1080"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宋体" w:hAnsi="宋体" w:hint="eastAsia"/>
                <w:szCs w:val="21"/>
              </w:rPr>
              <w:t>□</w:t>
            </w:r>
            <w:r>
              <w:rPr>
                <w:sz w:val="18"/>
              </w:rPr>
              <w:t>IDT</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宋体" w:hAnsi="宋体" w:hint="eastAsia"/>
                <w:szCs w:val="21"/>
              </w:rPr>
              <w:t>□</w:t>
            </w:r>
            <w:r>
              <w:rPr>
                <w:sz w:val="18"/>
              </w:rPr>
              <w:t>MOD</w:t>
            </w:r>
          </w:p>
        </w:tc>
        <w:tc>
          <w:tcPr>
            <w:tcW w:w="1158" w:type="dxa"/>
            <w:gridSpan w:val="2"/>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宋体" w:hAnsi="宋体" w:hint="eastAsia"/>
                <w:szCs w:val="21"/>
              </w:rPr>
              <w:t>□</w:t>
            </w:r>
            <w:r>
              <w:rPr>
                <w:sz w:val="18"/>
              </w:rPr>
              <w:t>NEQ</w:t>
            </w:r>
          </w:p>
        </w:tc>
        <w:tc>
          <w:tcPr>
            <w:tcW w:w="1549"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采标号</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无</w:t>
            </w:r>
          </w:p>
        </w:tc>
      </w:tr>
      <w:tr w:rsidR="00C21097">
        <w:trPr>
          <w:trHeight w:val="966"/>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pStyle w:val="a6"/>
              <w:pBdr>
                <w:bottom w:val="none" w:sz="0" w:space="0" w:color="auto"/>
              </w:pBdr>
              <w:tabs>
                <w:tab w:val="left" w:pos="420"/>
              </w:tabs>
              <w:snapToGrid/>
              <w:jc w:val="both"/>
              <w:rPr>
                <w:szCs w:val="24"/>
              </w:rPr>
            </w:pPr>
            <w:r>
              <w:rPr>
                <w:rFonts w:hint="eastAsia"/>
              </w:rPr>
              <w:t>国际标准</w:t>
            </w:r>
            <w:r>
              <w:rPr>
                <w:rFonts w:hint="eastAsia"/>
                <w:szCs w:val="24"/>
              </w:rPr>
              <w:t>名称</w:t>
            </w:r>
          </w:p>
          <w:p w:rsidR="00C21097" w:rsidRDefault="009C7FEC">
            <w:pPr>
              <w:rPr>
                <w:sz w:val="18"/>
              </w:rPr>
            </w:pPr>
            <w:r>
              <w:rPr>
                <w:sz w:val="18"/>
              </w:rPr>
              <w:t>(</w:t>
            </w:r>
            <w:r>
              <w:rPr>
                <w:rFonts w:hint="eastAsia"/>
                <w:sz w:val="18"/>
              </w:rPr>
              <w:t>中文</w:t>
            </w:r>
            <w:r>
              <w:rPr>
                <w:sz w:val="18"/>
              </w:rPr>
              <w:t>)</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无</w:t>
            </w:r>
          </w:p>
        </w:tc>
        <w:tc>
          <w:tcPr>
            <w:tcW w:w="1549"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szCs w:val="18"/>
              </w:rPr>
            </w:pPr>
            <w:r>
              <w:rPr>
                <w:rFonts w:hint="eastAsia"/>
                <w:sz w:val="18"/>
                <w:szCs w:val="18"/>
              </w:rPr>
              <w:t>国际标准名称</w:t>
            </w:r>
          </w:p>
          <w:p w:rsidR="00C21097" w:rsidRDefault="009C7FEC">
            <w:pPr>
              <w:rPr>
                <w:sz w:val="18"/>
              </w:rPr>
            </w:pPr>
            <w:r>
              <w:rPr>
                <w:sz w:val="18"/>
                <w:szCs w:val="18"/>
              </w:rPr>
              <w:t>(</w:t>
            </w:r>
            <w:r>
              <w:rPr>
                <w:rFonts w:hint="eastAsia"/>
                <w:sz w:val="18"/>
                <w:szCs w:val="18"/>
              </w:rPr>
              <w:t>英文</w:t>
            </w:r>
            <w:r>
              <w:rPr>
                <w:sz w:val="18"/>
                <w:szCs w:val="18"/>
              </w:rPr>
              <w:t>)</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无</w:t>
            </w:r>
          </w:p>
        </w:tc>
      </w:tr>
      <w:tr w:rsidR="00C21097">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采用快速程序</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宋体" w:hAnsi="宋体" w:hint="eastAsia"/>
                <w:szCs w:val="21"/>
              </w:rPr>
              <w:t>□</w:t>
            </w:r>
            <w:r>
              <w:rPr>
                <w:sz w:val="18"/>
              </w:rPr>
              <w:t>FTP</w:t>
            </w:r>
          </w:p>
        </w:tc>
        <w:tc>
          <w:tcPr>
            <w:tcW w:w="1549"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快速程序代码</w:t>
            </w: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宋体" w:hAnsi="宋体" w:hint="eastAsia"/>
                <w:szCs w:val="21"/>
              </w:rPr>
              <w:t>□</w:t>
            </w:r>
            <w:r>
              <w:rPr>
                <w:sz w:val="18"/>
              </w:rPr>
              <w:t>B</w:t>
            </w:r>
          </w:p>
        </w:tc>
        <w:tc>
          <w:tcPr>
            <w:tcW w:w="1561"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ascii="宋体" w:hAnsi="宋体" w:hint="eastAsia"/>
                <w:szCs w:val="21"/>
              </w:rPr>
              <w:t>□</w:t>
            </w:r>
            <w:r>
              <w:rPr>
                <w:sz w:val="18"/>
              </w:rPr>
              <w:t>C</w:t>
            </w:r>
          </w:p>
        </w:tc>
      </w:tr>
      <w:tr w:rsidR="00C21097">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rPr>
                <w:rFonts w:ascii="宋体" w:hAnsi="宋体"/>
                <w:sz w:val="18"/>
                <w:szCs w:val="18"/>
              </w:rPr>
            </w:pPr>
            <w:r>
              <w:rPr>
                <w:rFonts w:ascii="宋体" w:hAnsi="宋体"/>
                <w:sz w:val="18"/>
                <w:szCs w:val="18"/>
              </w:rPr>
              <w:t>ICS</w:t>
            </w:r>
            <w:r>
              <w:rPr>
                <w:rFonts w:ascii="宋体" w:hAnsi="宋体" w:hint="eastAsia"/>
                <w:sz w:val="18"/>
                <w:szCs w:val="18"/>
              </w:rPr>
              <w:t>分类号</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C21097" w:rsidRDefault="009C7FEC">
            <w:pPr>
              <w:rPr>
                <w:rFonts w:ascii="宋体" w:hAnsi="宋体"/>
                <w:sz w:val="18"/>
                <w:szCs w:val="18"/>
              </w:rPr>
            </w:pPr>
            <w:r>
              <w:rPr>
                <w:sz w:val="18"/>
                <w:szCs w:val="18"/>
              </w:rPr>
              <w:t>91.100.01</w:t>
            </w:r>
          </w:p>
        </w:tc>
        <w:tc>
          <w:tcPr>
            <w:tcW w:w="1549"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中国标准分类号</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sz w:val="18"/>
                <w:szCs w:val="18"/>
              </w:rPr>
              <w:t>Q</w:t>
            </w:r>
            <w:r>
              <w:rPr>
                <w:rFonts w:hint="eastAsia"/>
                <w:sz w:val="18"/>
                <w:szCs w:val="18"/>
              </w:rPr>
              <w:t>04</w:t>
            </w:r>
          </w:p>
        </w:tc>
      </w:tr>
      <w:tr w:rsidR="00C21097">
        <w:trPr>
          <w:trHeight w:val="454"/>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5A2BA6">
            <w:pPr>
              <w:rPr>
                <w:sz w:val="18"/>
              </w:rPr>
            </w:pPr>
            <w:bookmarkStart w:id="0" w:name="_GoBack" w:colFirst="0" w:colLast="3"/>
            <w:r>
              <w:rPr>
                <w:rFonts w:hint="eastAsia"/>
                <w:sz w:val="18"/>
                <w:szCs w:val="18"/>
              </w:rPr>
              <w:t>标准主要起草</w:t>
            </w:r>
            <w:r w:rsidR="009C7FEC">
              <w:rPr>
                <w:rFonts w:hint="eastAsia"/>
                <w:sz w:val="18"/>
              </w:rPr>
              <w:t>单位</w:t>
            </w:r>
          </w:p>
        </w:tc>
        <w:tc>
          <w:tcPr>
            <w:tcW w:w="3138" w:type="dxa"/>
            <w:gridSpan w:val="5"/>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szCs w:val="18"/>
              </w:rPr>
              <w:t>北京国建联信认证中心有限公司</w:t>
            </w:r>
            <w:r w:rsidR="005A2BA6">
              <w:rPr>
                <w:rFonts w:hint="eastAsia"/>
                <w:sz w:val="18"/>
                <w:szCs w:val="18"/>
              </w:rPr>
              <w:t>等</w:t>
            </w:r>
          </w:p>
        </w:tc>
        <w:tc>
          <w:tcPr>
            <w:tcW w:w="1549" w:type="dxa"/>
            <w:tcBorders>
              <w:top w:val="single" w:sz="4" w:space="0" w:color="auto"/>
              <w:left w:val="single" w:sz="4" w:space="0" w:color="auto"/>
              <w:bottom w:val="single" w:sz="4" w:space="0" w:color="auto"/>
              <w:right w:val="single" w:sz="4" w:space="0" w:color="auto"/>
            </w:tcBorders>
            <w:vAlign w:val="center"/>
          </w:tcPr>
          <w:p w:rsidR="00C21097" w:rsidRDefault="005A2BA6">
            <w:pPr>
              <w:ind w:firstLineChars="100" w:firstLine="180"/>
              <w:rPr>
                <w:sz w:val="18"/>
              </w:rPr>
            </w:pPr>
            <w:r>
              <w:rPr>
                <w:rFonts w:hint="eastAsia"/>
                <w:sz w:val="18"/>
              </w:rPr>
              <w:t>计划起止时间</w:t>
            </w: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C21097" w:rsidRDefault="005A2BA6" w:rsidP="005A2BA6">
            <w:pPr>
              <w:rPr>
                <w:sz w:val="18"/>
              </w:rPr>
            </w:pPr>
            <w:r>
              <w:rPr>
                <w:rFonts w:hint="eastAsia"/>
                <w:sz w:val="18"/>
              </w:rPr>
              <w:t>2024.8</w:t>
            </w:r>
            <w:r>
              <w:rPr>
                <w:rFonts w:hint="eastAsia"/>
                <w:sz w:val="18"/>
              </w:rPr>
              <w:t>至</w:t>
            </w:r>
            <w:r>
              <w:rPr>
                <w:rFonts w:hint="eastAsia"/>
                <w:sz w:val="18"/>
              </w:rPr>
              <w:t>202</w:t>
            </w:r>
            <w:r>
              <w:rPr>
                <w:sz w:val="18"/>
              </w:rPr>
              <w:t>5</w:t>
            </w:r>
            <w:r>
              <w:rPr>
                <w:rFonts w:hint="eastAsia"/>
                <w:sz w:val="18"/>
              </w:rPr>
              <w:t>.</w:t>
            </w:r>
            <w:r>
              <w:rPr>
                <w:sz w:val="18"/>
              </w:rPr>
              <w:t>8</w:t>
            </w:r>
          </w:p>
        </w:tc>
      </w:tr>
      <w:bookmarkEnd w:id="0"/>
      <w:tr w:rsidR="00C21097">
        <w:trPr>
          <w:trHeight w:val="1112"/>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目的、意义或必要性</w:t>
            </w:r>
          </w:p>
        </w:tc>
        <w:tc>
          <w:tcPr>
            <w:tcW w:w="7622" w:type="dxa"/>
            <w:gridSpan w:val="9"/>
            <w:tcBorders>
              <w:top w:val="single" w:sz="4" w:space="0" w:color="auto"/>
              <w:left w:val="single" w:sz="4" w:space="0" w:color="auto"/>
              <w:bottom w:val="single" w:sz="4" w:space="0" w:color="auto"/>
              <w:right w:val="single" w:sz="4" w:space="0" w:color="auto"/>
            </w:tcBorders>
            <w:vAlign w:val="center"/>
          </w:tcPr>
          <w:p w:rsidR="00C21097" w:rsidRDefault="009C7FEC">
            <w:pPr>
              <w:snapToGrid w:val="0"/>
              <w:spacing w:line="360" w:lineRule="auto"/>
              <w:ind w:firstLineChars="200" w:firstLine="360"/>
              <w:rPr>
                <w:sz w:val="18"/>
                <w:szCs w:val="18"/>
              </w:rPr>
            </w:pPr>
            <w:r>
              <w:rPr>
                <w:rFonts w:hint="eastAsia"/>
                <w:sz w:val="18"/>
                <w:szCs w:val="18"/>
              </w:rPr>
              <w:t>应对全球变暖带来的环境与气候风险已成为国际社会的共识之一，包括中国在内的多个国家作出了在</w:t>
            </w:r>
            <w:r>
              <w:rPr>
                <w:rFonts w:hint="eastAsia"/>
                <w:sz w:val="18"/>
                <w:szCs w:val="18"/>
              </w:rPr>
              <w:t>21</w:t>
            </w:r>
            <w:r>
              <w:rPr>
                <w:rFonts w:hint="eastAsia"/>
                <w:sz w:val="18"/>
                <w:szCs w:val="18"/>
              </w:rPr>
              <w:t>世纪中叶前后实现“碳中和”的承诺。在此背景下，准确核算碳排放既是我国摸清碳排放底数，从而为国际谈判和碳减排政策制定提供支撑的基础，也是不同层级主体落实减排任务、评估完成效果的重要依据。</w:t>
            </w:r>
          </w:p>
          <w:p w:rsidR="00C21097" w:rsidRDefault="009C7FEC">
            <w:pPr>
              <w:snapToGrid w:val="0"/>
              <w:spacing w:line="360" w:lineRule="auto"/>
              <w:ind w:firstLineChars="200" w:firstLine="360"/>
              <w:rPr>
                <w:sz w:val="18"/>
                <w:szCs w:val="18"/>
              </w:rPr>
            </w:pPr>
            <w:r>
              <w:rPr>
                <w:rFonts w:hint="eastAsia"/>
                <w:sz w:val="18"/>
                <w:szCs w:val="18"/>
              </w:rPr>
              <w:t>2022</w:t>
            </w:r>
            <w:r>
              <w:rPr>
                <w:rFonts w:hint="eastAsia"/>
                <w:sz w:val="18"/>
                <w:szCs w:val="18"/>
              </w:rPr>
              <w:t>年</w:t>
            </w:r>
            <w:r>
              <w:rPr>
                <w:rFonts w:hint="eastAsia"/>
                <w:sz w:val="18"/>
                <w:szCs w:val="18"/>
              </w:rPr>
              <w:t>8</w:t>
            </w:r>
            <w:r>
              <w:rPr>
                <w:rFonts w:hint="eastAsia"/>
                <w:sz w:val="18"/>
                <w:szCs w:val="18"/>
              </w:rPr>
              <w:t>月</w:t>
            </w:r>
            <w:r>
              <w:rPr>
                <w:rFonts w:hint="eastAsia"/>
                <w:sz w:val="18"/>
                <w:szCs w:val="18"/>
              </w:rPr>
              <w:t>19</w:t>
            </w:r>
            <w:r>
              <w:rPr>
                <w:rFonts w:hint="eastAsia"/>
                <w:sz w:val="18"/>
                <w:szCs w:val="18"/>
              </w:rPr>
              <w:t>日，国家发展改革委、国家统计局、生态环境部联合印发《关于加快建立统一规范的碳排放统计核算体系实施方案》，指出“大型跨国公司从供应链及生命周期角度对产品碳核算产生倒逼效应，原有的碳排放统计核算体系面临多重挑战，亟需坚持问题导向，尽快健全完善。”因此，构建更为完善的碳排放核算体系对我国实现碳中和目标至关重要。</w:t>
            </w:r>
          </w:p>
          <w:p w:rsidR="00C21097" w:rsidRDefault="009C7FEC">
            <w:pPr>
              <w:snapToGrid w:val="0"/>
              <w:spacing w:line="360" w:lineRule="auto"/>
              <w:ind w:firstLineChars="200" w:firstLine="360"/>
              <w:rPr>
                <w:sz w:val="18"/>
                <w:szCs w:val="18"/>
              </w:rPr>
            </w:pPr>
            <w:r>
              <w:rPr>
                <w:rFonts w:hint="eastAsia"/>
                <w:sz w:val="18"/>
                <w:szCs w:val="18"/>
              </w:rPr>
              <w:t>企业碳排放可分为直接排放和间接排放，按世界资源研究所（</w:t>
            </w:r>
            <w:r>
              <w:rPr>
                <w:rFonts w:hint="eastAsia"/>
                <w:sz w:val="18"/>
                <w:szCs w:val="18"/>
              </w:rPr>
              <w:t>WRI</w:t>
            </w:r>
            <w:r>
              <w:rPr>
                <w:rFonts w:hint="eastAsia"/>
                <w:sz w:val="18"/>
                <w:szCs w:val="18"/>
              </w:rPr>
              <w:t>）的相关分类，间接排放被划分为由企业用电及热力产生的间接排放即范围二排放，以及企业上下游价值链产生的间接排放即范围三排放。到目</w:t>
            </w:r>
            <w:r>
              <w:rPr>
                <w:rFonts w:hint="eastAsia"/>
                <w:sz w:val="18"/>
                <w:szCs w:val="18"/>
              </w:rPr>
              <w:t>前为止，我国碳排放核算体系中企业核算标准大多针对企业经营活动的直接排放和范围二排放，价值链上更广范围内产生的排放往往容易被忽视。核算价值链温室气体排放，有助于企业全面管理与温室气体相关的风险和机遇。</w:t>
            </w:r>
          </w:p>
          <w:p w:rsidR="00C21097" w:rsidRDefault="009C7FEC">
            <w:pPr>
              <w:snapToGrid w:val="0"/>
              <w:spacing w:line="360" w:lineRule="auto"/>
              <w:ind w:firstLineChars="200" w:firstLine="360"/>
              <w:rPr>
                <w:sz w:val="18"/>
                <w:szCs w:val="18"/>
              </w:rPr>
            </w:pPr>
            <w:r>
              <w:rPr>
                <w:rFonts w:hint="eastAsia"/>
                <w:sz w:val="18"/>
                <w:szCs w:val="18"/>
              </w:rPr>
              <w:t>此外，国际市场逐步提高对企业范围三披露要求。国际可持续准则理事会（</w:t>
            </w:r>
            <w:r>
              <w:rPr>
                <w:rFonts w:hint="eastAsia"/>
                <w:sz w:val="18"/>
                <w:szCs w:val="18"/>
              </w:rPr>
              <w:t>ISSB</w:t>
            </w:r>
            <w:r>
              <w:rPr>
                <w:rFonts w:hint="eastAsia"/>
                <w:sz w:val="18"/>
                <w:szCs w:val="18"/>
              </w:rPr>
              <w:t>）于</w:t>
            </w:r>
            <w:r>
              <w:rPr>
                <w:rFonts w:hint="eastAsia"/>
                <w:sz w:val="18"/>
                <w:szCs w:val="18"/>
              </w:rPr>
              <w:t>2023</w:t>
            </w:r>
            <w:r>
              <w:rPr>
                <w:rFonts w:hint="eastAsia"/>
                <w:sz w:val="18"/>
                <w:szCs w:val="18"/>
              </w:rPr>
              <w:t>年</w:t>
            </w:r>
            <w:r>
              <w:rPr>
                <w:rFonts w:hint="eastAsia"/>
                <w:sz w:val="18"/>
                <w:szCs w:val="18"/>
              </w:rPr>
              <w:t>6</w:t>
            </w:r>
            <w:r>
              <w:rPr>
                <w:rFonts w:hint="eastAsia"/>
                <w:sz w:val="18"/>
                <w:szCs w:val="18"/>
              </w:rPr>
              <w:t>月</w:t>
            </w:r>
            <w:r>
              <w:rPr>
                <w:rFonts w:hint="eastAsia"/>
                <w:sz w:val="18"/>
                <w:szCs w:val="18"/>
              </w:rPr>
              <w:t>26</w:t>
            </w:r>
            <w:r>
              <w:rPr>
                <w:rFonts w:hint="eastAsia"/>
                <w:sz w:val="18"/>
                <w:szCs w:val="18"/>
              </w:rPr>
              <w:t>日正式对外发布的《国际财务报告可持续披露准则第</w:t>
            </w:r>
            <w:r>
              <w:rPr>
                <w:rFonts w:hint="eastAsia"/>
                <w:sz w:val="18"/>
                <w:szCs w:val="18"/>
              </w:rPr>
              <w:t>2</w:t>
            </w:r>
            <w:r>
              <w:rPr>
                <w:rFonts w:hint="eastAsia"/>
                <w:sz w:val="18"/>
                <w:szCs w:val="18"/>
              </w:rPr>
              <w:t>号——气候相关披露》（</w:t>
            </w:r>
            <w:r>
              <w:rPr>
                <w:rFonts w:hint="eastAsia"/>
                <w:sz w:val="18"/>
                <w:szCs w:val="18"/>
              </w:rPr>
              <w:t>IFRS S2</w:t>
            </w:r>
            <w:r>
              <w:rPr>
                <w:rFonts w:hint="eastAsia"/>
                <w:sz w:val="18"/>
                <w:szCs w:val="18"/>
              </w:rPr>
              <w:t>）中要求所有企业披露范围三温室气体排放的信息；《欧洲可持续发展报告准则第</w:t>
            </w:r>
            <w:r>
              <w:rPr>
                <w:rFonts w:hint="eastAsia"/>
                <w:sz w:val="18"/>
                <w:szCs w:val="18"/>
              </w:rPr>
              <w:t>E1</w:t>
            </w:r>
            <w:r>
              <w:rPr>
                <w:rFonts w:hint="eastAsia"/>
                <w:sz w:val="18"/>
                <w:szCs w:val="18"/>
              </w:rPr>
              <w:t>号——气候变化》（</w:t>
            </w:r>
            <w:r>
              <w:rPr>
                <w:rFonts w:hint="eastAsia"/>
                <w:sz w:val="18"/>
                <w:szCs w:val="18"/>
              </w:rPr>
              <w:t>ESRS E1</w:t>
            </w:r>
            <w:r>
              <w:rPr>
                <w:rFonts w:hint="eastAsia"/>
                <w:sz w:val="18"/>
                <w:szCs w:val="18"/>
              </w:rPr>
              <w:t>）要求报告主体于温室气体</w:t>
            </w:r>
            <w:r>
              <w:rPr>
                <w:rFonts w:hint="eastAsia"/>
                <w:sz w:val="18"/>
                <w:szCs w:val="18"/>
              </w:rPr>
              <w:t>排放总量中，披露范围三温室气体排放总量。范围三温室气体核算也成为企业设定“科学碳目标（</w:t>
            </w:r>
            <w:r>
              <w:rPr>
                <w:rFonts w:hint="eastAsia"/>
                <w:sz w:val="18"/>
                <w:szCs w:val="18"/>
              </w:rPr>
              <w:t>SBTi</w:t>
            </w:r>
            <w:r>
              <w:rPr>
                <w:rFonts w:hint="eastAsia"/>
                <w:sz w:val="18"/>
                <w:szCs w:val="18"/>
              </w:rPr>
              <w:t>）”的基本要求。</w:t>
            </w:r>
          </w:p>
          <w:p w:rsidR="00C21097" w:rsidRDefault="009C7FEC">
            <w:pPr>
              <w:snapToGrid w:val="0"/>
              <w:spacing w:line="360" w:lineRule="auto"/>
              <w:ind w:firstLineChars="200" w:firstLine="360"/>
              <w:rPr>
                <w:sz w:val="18"/>
                <w:szCs w:val="18"/>
              </w:rPr>
            </w:pPr>
            <w:r>
              <w:rPr>
                <w:rFonts w:hint="eastAsia"/>
                <w:sz w:val="18"/>
                <w:szCs w:val="18"/>
              </w:rPr>
              <w:t>作为世界上最大的建筑材料生产国和消费国，中国主要建材产品水泥、平板玻璃、建筑卫生陶瓷、石材和墙体材料等产量多年居世界第一位。建材行业已成为我国国民经济和社会发展的重要基础产业，也是工业领域能源消耗和碳排放的重点行业。以建材行业为试点，开展价值链温室气体排放核算标准制定，有助于推动建材行业全链条减碳，满足各利益相关方要求，为建材行业参与碳排放权交易市场提供基础。</w:t>
            </w:r>
          </w:p>
          <w:p w:rsidR="00C21097" w:rsidRDefault="009C7FEC">
            <w:pPr>
              <w:snapToGrid w:val="0"/>
              <w:spacing w:line="360" w:lineRule="auto"/>
              <w:ind w:firstLineChars="200" w:firstLine="360"/>
              <w:rPr>
                <w:sz w:val="18"/>
                <w:szCs w:val="18"/>
              </w:rPr>
            </w:pPr>
            <w:r>
              <w:rPr>
                <w:rFonts w:hint="eastAsia"/>
                <w:sz w:val="18"/>
                <w:szCs w:val="18"/>
              </w:rPr>
              <w:lastRenderedPageBreak/>
              <w:t>国内现有标准</w:t>
            </w:r>
            <w:r>
              <w:rPr>
                <w:rFonts w:hint="eastAsia"/>
                <w:sz w:val="18"/>
                <w:szCs w:val="18"/>
              </w:rPr>
              <w:t>GB/T 3215</w:t>
            </w:r>
            <w:r>
              <w:rPr>
                <w:rFonts w:hint="eastAsia"/>
                <w:sz w:val="18"/>
                <w:szCs w:val="18"/>
              </w:rPr>
              <w:t>0</w:t>
            </w:r>
            <w:r>
              <w:rPr>
                <w:rFonts w:hint="eastAsia"/>
                <w:sz w:val="18"/>
                <w:szCs w:val="18"/>
              </w:rPr>
              <w:t>-2015</w:t>
            </w:r>
            <w:r>
              <w:rPr>
                <w:rFonts w:hint="eastAsia"/>
                <w:sz w:val="18"/>
                <w:szCs w:val="18"/>
              </w:rPr>
              <w:t>《工业企业温室气体排放核算和报告通则》，</w:t>
            </w:r>
            <w:r>
              <w:rPr>
                <w:rFonts w:hint="eastAsia"/>
                <w:sz w:val="18"/>
                <w:szCs w:val="18"/>
              </w:rPr>
              <w:t>GB/T 32151.7</w:t>
            </w:r>
            <w:r>
              <w:rPr>
                <w:rFonts w:hint="eastAsia"/>
                <w:sz w:val="18"/>
                <w:szCs w:val="18"/>
              </w:rPr>
              <w:t>《</w:t>
            </w:r>
            <w:hyperlink r:id="rId8" w:history="1">
              <w:r>
                <w:rPr>
                  <w:rFonts w:hint="eastAsia"/>
                  <w:sz w:val="18"/>
                  <w:szCs w:val="18"/>
                </w:rPr>
                <w:t>温室气体排放核算与报告要求 第</w:t>
              </w:r>
              <w:r>
                <w:rPr>
                  <w:rFonts w:hint="eastAsia"/>
                  <w:sz w:val="18"/>
                  <w:szCs w:val="18"/>
                </w:rPr>
                <w:t>7</w:t>
              </w:r>
              <w:r>
                <w:rPr>
                  <w:rFonts w:hint="eastAsia"/>
                  <w:sz w:val="18"/>
                  <w:szCs w:val="18"/>
                </w:rPr>
                <w:t>部分：平板玻璃生产企业</w:t>
              </w:r>
            </w:hyperlink>
            <w:r>
              <w:rPr>
                <w:rFonts w:hint="eastAsia"/>
                <w:sz w:val="18"/>
                <w:szCs w:val="18"/>
              </w:rPr>
              <w:t>》，</w:t>
            </w:r>
            <w:r>
              <w:rPr>
                <w:rFonts w:hint="eastAsia"/>
                <w:sz w:val="18"/>
                <w:szCs w:val="18"/>
              </w:rPr>
              <w:t>GB/T 32151.8</w:t>
            </w:r>
            <w:r>
              <w:rPr>
                <w:rFonts w:hint="eastAsia"/>
                <w:sz w:val="18"/>
                <w:szCs w:val="18"/>
              </w:rPr>
              <w:t>《温室气体排放核算与报告要求</w:t>
            </w:r>
            <w:r>
              <w:rPr>
                <w:rFonts w:hint="eastAsia"/>
                <w:sz w:val="18"/>
                <w:szCs w:val="18"/>
              </w:rPr>
              <w:t xml:space="preserve"> </w:t>
            </w:r>
            <w:r>
              <w:rPr>
                <w:rFonts w:hint="eastAsia"/>
                <w:sz w:val="18"/>
                <w:szCs w:val="18"/>
              </w:rPr>
              <w:t>第</w:t>
            </w:r>
            <w:r>
              <w:rPr>
                <w:rFonts w:hint="eastAsia"/>
                <w:sz w:val="18"/>
                <w:szCs w:val="18"/>
              </w:rPr>
              <w:t>8</w:t>
            </w:r>
            <w:r>
              <w:rPr>
                <w:rFonts w:hint="eastAsia"/>
                <w:sz w:val="18"/>
                <w:szCs w:val="18"/>
              </w:rPr>
              <w:t>部分：水泥生产企业》，</w:t>
            </w:r>
            <w:r>
              <w:rPr>
                <w:rFonts w:hint="eastAsia"/>
                <w:sz w:val="18"/>
                <w:szCs w:val="18"/>
              </w:rPr>
              <w:t>GB/T 32151.9</w:t>
            </w:r>
            <w:r>
              <w:rPr>
                <w:rFonts w:hint="eastAsia"/>
                <w:sz w:val="18"/>
                <w:szCs w:val="18"/>
              </w:rPr>
              <w:t>《</w:t>
            </w:r>
            <w:hyperlink r:id="rId9" w:history="1">
              <w:r>
                <w:rPr>
                  <w:rFonts w:hint="eastAsia"/>
                  <w:sz w:val="18"/>
                  <w:szCs w:val="18"/>
                </w:rPr>
                <w:t>温室气体排放核算与报告要求 第</w:t>
              </w:r>
              <w:r>
                <w:rPr>
                  <w:rFonts w:hint="eastAsia"/>
                  <w:sz w:val="18"/>
                  <w:szCs w:val="18"/>
                </w:rPr>
                <w:t>9</w:t>
              </w:r>
              <w:r>
                <w:rPr>
                  <w:rFonts w:hint="eastAsia"/>
                  <w:sz w:val="18"/>
                  <w:szCs w:val="18"/>
                </w:rPr>
                <w:t>部分：陶瓷生产企业</w:t>
              </w:r>
            </w:hyperlink>
            <w:r>
              <w:rPr>
                <w:rFonts w:hint="eastAsia"/>
                <w:sz w:val="18"/>
                <w:szCs w:val="18"/>
              </w:rPr>
              <w:t>》，</w:t>
            </w:r>
            <w:r>
              <w:rPr>
                <w:rFonts w:hint="eastAsia"/>
                <w:sz w:val="18"/>
                <w:szCs w:val="18"/>
              </w:rPr>
              <w:t>仅规定了</w:t>
            </w:r>
            <w:r>
              <w:rPr>
                <w:rFonts w:hint="eastAsia"/>
                <w:sz w:val="18"/>
                <w:szCs w:val="18"/>
              </w:rPr>
              <w:t>直接排放</w:t>
            </w:r>
            <w:r>
              <w:rPr>
                <w:rFonts w:hint="eastAsia"/>
                <w:sz w:val="18"/>
                <w:szCs w:val="18"/>
              </w:rPr>
              <w:t>（范围一）</w:t>
            </w:r>
            <w:r>
              <w:rPr>
                <w:rFonts w:hint="eastAsia"/>
                <w:sz w:val="18"/>
                <w:szCs w:val="18"/>
              </w:rPr>
              <w:t>与间接排放中购入电力、热力产生的排放</w:t>
            </w:r>
            <w:r>
              <w:rPr>
                <w:rFonts w:hint="eastAsia"/>
                <w:sz w:val="18"/>
                <w:szCs w:val="18"/>
              </w:rPr>
              <w:t>（范围二）</w:t>
            </w:r>
            <w:r>
              <w:rPr>
                <w:rFonts w:hint="eastAsia"/>
                <w:sz w:val="18"/>
                <w:szCs w:val="18"/>
              </w:rPr>
              <w:t>，并未对</w:t>
            </w:r>
            <w:r>
              <w:rPr>
                <w:rFonts w:hint="eastAsia"/>
                <w:sz w:val="18"/>
                <w:szCs w:val="18"/>
              </w:rPr>
              <w:t>价值链上产生的间接排放做</w:t>
            </w:r>
            <w:r>
              <w:rPr>
                <w:rFonts w:hint="eastAsia"/>
                <w:sz w:val="18"/>
                <w:szCs w:val="18"/>
              </w:rPr>
              <w:t>明确规定</w:t>
            </w:r>
            <w:r>
              <w:rPr>
                <w:rFonts w:hint="eastAsia"/>
                <w:sz w:val="18"/>
                <w:szCs w:val="18"/>
              </w:rPr>
              <w:t>。</w:t>
            </w:r>
          </w:p>
          <w:p w:rsidR="00C21097" w:rsidRDefault="009C7FEC">
            <w:pPr>
              <w:snapToGrid w:val="0"/>
              <w:spacing w:line="360" w:lineRule="auto"/>
              <w:ind w:firstLineChars="200" w:firstLine="360"/>
              <w:rPr>
                <w:sz w:val="18"/>
                <w:szCs w:val="18"/>
              </w:rPr>
            </w:pPr>
            <w:r>
              <w:rPr>
                <w:rFonts w:hint="eastAsia"/>
                <w:sz w:val="18"/>
                <w:szCs w:val="18"/>
              </w:rPr>
              <w:t>本标准将提供一套标准化的温室气体核算方法，</w:t>
            </w:r>
            <w:r>
              <w:rPr>
                <w:rFonts w:hint="eastAsia"/>
                <w:sz w:val="18"/>
                <w:szCs w:val="18"/>
              </w:rPr>
              <w:t>规范企业核算价值链温室气体排放报告格式，</w:t>
            </w:r>
            <w:r>
              <w:rPr>
                <w:rFonts w:hint="eastAsia"/>
                <w:sz w:val="18"/>
                <w:szCs w:val="18"/>
              </w:rPr>
              <w:t>同时对国内现有温室气体排放核算标准做相应补充，</w:t>
            </w:r>
            <w:r>
              <w:rPr>
                <w:rFonts w:hint="eastAsia"/>
                <w:sz w:val="18"/>
                <w:szCs w:val="18"/>
              </w:rPr>
              <w:t>以帮助建筑材料企业核算价值链温室气体排放量，全面了</w:t>
            </w:r>
            <w:r>
              <w:rPr>
                <w:rFonts w:hint="eastAsia"/>
                <w:sz w:val="18"/>
                <w:szCs w:val="18"/>
              </w:rPr>
              <w:t>解其价值链温室气体排放影响，制定有效的企业可持续发展战略，将精力集中放在最大的温室气体减排机会上，使企业的活动及产品购买、销售和生产决策更具可持续性，更好地满足国际市场要求。</w:t>
            </w:r>
          </w:p>
        </w:tc>
      </w:tr>
      <w:tr w:rsidR="00C21097">
        <w:trPr>
          <w:trHeight w:val="1545"/>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lastRenderedPageBreak/>
              <w:t>范围和主要</w:t>
            </w:r>
          </w:p>
          <w:p w:rsidR="00C21097" w:rsidRDefault="009C7FEC">
            <w:pPr>
              <w:rPr>
                <w:sz w:val="18"/>
              </w:rPr>
            </w:pPr>
            <w:r>
              <w:rPr>
                <w:rFonts w:hint="eastAsia"/>
                <w:sz w:val="18"/>
              </w:rPr>
              <w:t>技术内容</w:t>
            </w:r>
          </w:p>
        </w:tc>
        <w:tc>
          <w:tcPr>
            <w:tcW w:w="7622" w:type="dxa"/>
            <w:gridSpan w:val="9"/>
            <w:tcBorders>
              <w:top w:val="single" w:sz="4" w:space="0" w:color="auto"/>
              <w:left w:val="single" w:sz="4" w:space="0" w:color="auto"/>
              <w:bottom w:val="single" w:sz="4" w:space="0" w:color="auto"/>
              <w:right w:val="single" w:sz="4" w:space="0" w:color="auto"/>
            </w:tcBorders>
            <w:vAlign w:val="center"/>
          </w:tcPr>
          <w:p w:rsidR="00C21097" w:rsidRDefault="009C7FEC" w:rsidP="005A2BA6">
            <w:pPr>
              <w:numPr>
                <w:ilvl w:val="0"/>
                <w:numId w:val="1"/>
              </w:numPr>
              <w:snapToGrid w:val="0"/>
              <w:spacing w:line="360" w:lineRule="auto"/>
              <w:ind w:firstLineChars="200" w:firstLine="360"/>
              <w:rPr>
                <w:sz w:val="18"/>
                <w:szCs w:val="18"/>
              </w:rPr>
            </w:pPr>
            <w:r>
              <w:rPr>
                <w:sz w:val="18"/>
                <w:szCs w:val="18"/>
              </w:rPr>
              <w:t>本文件规定了建筑材料生产制造企业范围三温室气体排放核算与报告工作流程，包括核算与报告原则、核算要求、核算方法、报告内容和格式等。本文件适用于建筑材料企业。</w:t>
            </w:r>
          </w:p>
          <w:p w:rsidR="00C21097" w:rsidRDefault="009C7FEC" w:rsidP="005A2BA6">
            <w:pPr>
              <w:numPr>
                <w:ilvl w:val="0"/>
                <w:numId w:val="1"/>
              </w:numPr>
              <w:snapToGrid w:val="0"/>
              <w:spacing w:line="360" w:lineRule="auto"/>
              <w:ind w:firstLineChars="200" w:firstLine="361"/>
              <w:rPr>
                <w:b/>
                <w:bCs/>
                <w:sz w:val="18"/>
                <w:szCs w:val="18"/>
              </w:rPr>
            </w:pPr>
            <w:r>
              <w:rPr>
                <w:b/>
                <w:bCs/>
                <w:sz w:val="18"/>
                <w:szCs w:val="18"/>
              </w:rPr>
              <w:t>主要技术内容如下：</w:t>
            </w:r>
          </w:p>
          <w:p w:rsidR="00C21097" w:rsidRDefault="009C7FEC">
            <w:pPr>
              <w:numPr>
                <w:ilvl w:val="0"/>
                <w:numId w:val="1"/>
              </w:numPr>
              <w:snapToGrid w:val="0"/>
              <w:spacing w:line="360" w:lineRule="auto"/>
              <w:ind w:firstLineChars="200" w:firstLine="360"/>
              <w:rPr>
                <w:sz w:val="18"/>
                <w:szCs w:val="18"/>
              </w:rPr>
            </w:pPr>
            <w:r>
              <w:rPr>
                <w:sz w:val="18"/>
                <w:szCs w:val="18"/>
              </w:rPr>
              <w:t>核算与</w:t>
            </w:r>
            <w:r>
              <w:rPr>
                <w:sz w:val="18"/>
                <w:szCs w:val="18"/>
              </w:rPr>
              <w:t>报告原则：范围三清单的温室气体核算与报告应遵循相关性、完整性、一致性、透明性和准确性原则。</w:t>
            </w:r>
          </w:p>
          <w:p w:rsidR="00C21097" w:rsidRDefault="009C7FEC">
            <w:pPr>
              <w:numPr>
                <w:ilvl w:val="0"/>
                <w:numId w:val="1"/>
              </w:numPr>
              <w:snapToGrid w:val="0"/>
              <w:spacing w:line="360" w:lineRule="auto"/>
              <w:ind w:firstLineChars="200" w:firstLine="360"/>
              <w:rPr>
                <w:sz w:val="18"/>
                <w:szCs w:val="18"/>
              </w:rPr>
            </w:pPr>
            <w:r>
              <w:rPr>
                <w:sz w:val="18"/>
                <w:szCs w:val="18"/>
              </w:rPr>
              <w:t>核算要求：</w:t>
            </w:r>
            <w:r>
              <w:rPr>
                <w:rFonts w:hint="eastAsia"/>
                <w:sz w:val="18"/>
                <w:szCs w:val="18"/>
              </w:rPr>
              <w:t>1</w:t>
            </w:r>
            <w:r>
              <w:rPr>
                <w:rFonts w:hint="eastAsia"/>
                <w:sz w:val="18"/>
                <w:szCs w:val="18"/>
              </w:rPr>
              <w:t>）</w:t>
            </w:r>
            <w:r>
              <w:rPr>
                <w:sz w:val="18"/>
                <w:szCs w:val="18"/>
              </w:rPr>
              <w:t>本标准将范围三排放分成</w:t>
            </w:r>
            <w:r>
              <w:rPr>
                <w:sz w:val="18"/>
                <w:szCs w:val="18"/>
              </w:rPr>
              <w:t>15</w:t>
            </w:r>
            <w:r>
              <w:rPr>
                <w:sz w:val="18"/>
                <w:szCs w:val="18"/>
              </w:rPr>
              <w:t>个不同的类别，本节提供范围三每一类别的详细说明；</w:t>
            </w:r>
            <w:r>
              <w:rPr>
                <w:rFonts w:hint="eastAsia"/>
                <w:sz w:val="18"/>
                <w:szCs w:val="18"/>
              </w:rPr>
              <w:t>2</w:t>
            </w:r>
            <w:r>
              <w:rPr>
                <w:rFonts w:hint="eastAsia"/>
                <w:sz w:val="18"/>
                <w:szCs w:val="18"/>
              </w:rPr>
              <w:t>）</w:t>
            </w:r>
            <w:r>
              <w:rPr>
                <w:sz w:val="18"/>
                <w:szCs w:val="18"/>
              </w:rPr>
              <w:t>确定哪些运营活动类别被包含在建筑材料企业组织边界内及报告企业如何合并各运营活动的排放。</w:t>
            </w:r>
          </w:p>
          <w:p w:rsidR="00C21097" w:rsidRDefault="009C7FEC">
            <w:pPr>
              <w:numPr>
                <w:ilvl w:val="0"/>
                <w:numId w:val="1"/>
              </w:numPr>
              <w:snapToGrid w:val="0"/>
              <w:spacing w:line="360" w:lineRule="auto"/>
              <w:ind w:firstLineChars="200" w:firstLine="360"/>
              <w:rPr>
                <w:sz w:val="18"/>
                <w:szCs w:val="18"/>
              </w:rPr>
            </w:pPr>
            <w:r>
              <w:rPr>
                <w:sz w:val="18"/>
                <w:szCs w:val="18"/>
              </w:rPr>
              <w:t>核算方法：</w:t>
            </w:r>
            <w:r>
              <w:rPr>
                <w:rFonts w:hint="eastAsia"/>
                <w:sz w:val="18"/>
                <w:szCs w:val="18"/>
              </w:rPr>
              <w:t>1</w:t>
            </w:r>
            <w:r>
              <w:rPr>
                <w:rFonts w:hint="eastAsia"/>
                <w:sz w:val="18"/>
                <w:szCs w:val="18"/>
              </w:rPr>
              <w:t>）</w:t>
            </w:r>
            <w:r>
              <w:rPr>
                <w:sz w:val="18"/>
                <w:szCs w:val="18"/>
              </w:rPr>
              <w:t>确定数据收集方法、分配原则、数据质量要求等。</w:t>
            </w:r>
            <w:r>
              <w:rPr>
                <w:rFonts w:hint="eastAsia"/>
                <w:sz w:val="18"/>
                <w:szCs w:val="18"/>
              </w:rPr>
              <w:t>2</w:t>
            </w:r>
            <w:r>
              <w:rPr>
                <w:rFonts w:hint="eastAsia"/>
                <w:sz w:val="18"/>
                <w:szCs w:val="18"/>
              </w:rPr>
              <w:t>）</w:t>
            </w:r>
            <w:r>
              <w:rPr>
                <w:sz w:val="18"/>
                <w:szCs w:val="18"/>
              </w:rPr>
              <w:t>说明各</w:t>
            </w:r>
            <w:r>
              <w:rPr>
                <w:sz w:val="18"/>
                <w:szCs w:val="18"/>
              </w:rPr>
              <w:t>运营活动类别温室气体排放量的具体核算方法与数据来源。</w:t>
            </w:r>
          </w:p>
          <w:p w:rsidR="00C21097" w:rsidRDefault="009C7FEC" w:rsidP="005A2BA6">
            <w:pPr>
              <w:numPr>
                <w:ilvl w:val="0"/>
                <w:numId w:val="1"/>
              </w:numPr>
              <w:snapToGrid w:val="0"/>
              <w:spacing w:line="360" w:lineRule="auto"/>
              <w:ind w:firstLineChars="200" w:firstLine="360"/>
              <w:rPr>
                <w:sz w:val="18"/>
                <w:szCs w:val="18"/>
              </w:rPr>
            </w:pPr>
            <w:r>
              <w:rPr>
                <w:sz w:val="18"/>
                <w:szCs w:val="18"/>
              </w:rPr>
              <w:t>报告内容和格式：提出建筑材料企业范围三温室气体排放报告内容与格式要求。</w:t>
            </w:r>
          </w:p>
        </w:tc>
      </w:tr>
      <w:tr w:rsidR="00C21097">
        <w:trPr>
          <w:trHeight w:val="2917"/>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rPr>
                <w:sz w:val="18"/>
              </w:rPr>
            </w:pPr>
            <w:r>
              <w:rPr>
                <w:rFonts w:hint="eastAsia"/>
                <w:sz w:val="18"/>
              </w:rPr>
              <w:t>国内外情况</w:t>
            </w:r>
          </w:p>
          <w:p w:rsidR="00C21097" w:rsidRDefault="009C7FEC">
            <w:pPr>
              <w:rPr>
                <w:sz w:val="18"/>
              </w:rPr>
            </w:pPr>
            <w:r>
              <w:rPr>
                <w:rFonts w:hint="eastAsia"/>
                <w:sz w:val="18"/>
              </w:rPr>
              <w:t>简要说明</w:t>
            </w:r>
          </w:p>
        </w:tc>
        <w:tc>
          <w:tcPr>
            <w:tcW w:w="7622" w:type="dxa"/>
            <w:gridSpan w:val="9"/>
            <w:tcBorders>
              <w:top w:val="single" w:sz="4" w:space="0" w:color="auto"/>
              <w:left w:val="single" w:sz="4" w:space="0" w:color="auto"/>
              <w:bottom w:val="single" w:sz="4" w:space="0" w:color="auto"/>
              <w:right w:val="single" w:sz="4" w:space="0" w:color="auto"/>
            </w:tcBorders>
            <w:vAlign w:val="center"/>
          </w:tcPr>
          <w:p w:rsidR="00C21097" w:rsidRDefault="009C7FEC">
            <w:pPr>
              <w:numPr>
                <w:ilvl w:val="0"/>
                <w:numId w:val="2"/>
              </w:numPr>
              <w:rPr>
                <w:sz w:val="18"/>
              </w:rPr>
            </w:pPr>
            <w:r>
              <w:rPr>
                <w:sz w:val="18"/>
                <w:u w:val="single"/>
              </w:rPr>
              <w:t>国内外对该技术研究情</w:t>
            </w:r>
            <w:r>
              <w:rPr>
                <w:sz w:val="18"/>
                <w:u w:val="single"/>
              </w:rPr>
              <w:t>况简要说明</w:t>
            </w:r>
            <w:r>
              <w:rPr>
                <w:sz w:val="18"/>
              </w:rPr>
              <w:t>：</w:t>
            </w:r>
          </w:p>
          <w:p w:rsidR="00C21097" w:rsidRDefault="009C7FEC">
            <w:pPr>
              <w:snapToGrid w:val="0"/>
              <w:spacing w:line="360" w:lineRule="auto"/>
              <w:ind w:firstLineChars="200" w:firstLine="360"/>
              <w:rPr>
                <w:sz w:val="18"/>
                <w:szCs w:val="18"/>
              </w:rPr>
            </w:pPr>
            <w:r>
              <w:rPr>
                <w:sz w:val="18"/>
                <w:szCs w:val="18"/>
              </w:rPr>
              <w:t>国际上广泛应用于企业价值链（范围三）核算与报告标准是世界资源研究所（</w:t>
            </w:r>
            <w:r>
              <w:rPr>
                <w:sz w:val="18"/>
                <w:szCs w:val="18"/>
              </w:rPr>
              <w:t>WRI</w:t>
            </w:r>
            <w:r>
              <w:rPr>
                <w:sz w:val="18"/>
                <w:szCs w:val="18"/>
              </w:rPr>
              <w:t>）和世界可持续发展工商理事会（</w:t>
            </w:r>
            <w:r>
              <w:rPr>
                <w:sz w:val="18"/>
                <w:szCs w:val="18"/>
              </w:rPr>
              <w:t>WBCSD</w:t>
            </w:r>
            <w:r>
              <w:rPr>
                <w:sz w:val="18"/>
                <w:szCs w:val="18"/>
              </w:rPr>
              <w:t>）</w:t>
            </w:r>
            <w:r>
              <w:rPr>
                <w:sz w:val="18"/>
                <w:szCs w:val="18"/>
              </w:rPr>
              <w:t>2011</w:t>
            </w:r>
            <w:r>
              <w:rPr>
                <w:sz w:val="18"/>
                <w:szCs w:val="18"/>
              </w:rPr>
              <w:t>年发布的温室气体核算体系（</w:t>
            </w:r>
            <w:r>
              <w:rPr>
                <w:sz w:val="18"/>
                <w:szCs w:val="18"/>
              </w:rPr>
              <w:t>GHG Protocol</w:t>
            </w:r>
            <w:r>
              <w:rPr>
                <w:sz w:val="18"/>
                <w:szCs w:val="18"/>
              </w:rPr>
              <w:t>）中的《温室气体核算体系：企业价值链（范围三）核算与报告标准（</w:t>
            </w:r>
            <w:r>
              <w:rPr>
                <w:sz w:val="18"/>
                <w:szCs w:val="18"/>
              </w:rPr>
              <w:t>2011</w:t>
            </w:r>
            <w:r>
              <w:rPr>
                <w:sz w:val="18"/>
                <w:szCs w:val="18"/>
              </w:rPr>
              <w:t>）》。</w:t>
            </w:r>
            <w:r>
              <w:rPr>
                <w:sz w:val="18"/>
                <w:szCs w:val="18"/>
              </w:rPr>
              <w:t>WRI</w:t>
            </w:r>
            <w:r>
              <w:rPr>
                <w:sz w:val="18"/>
                <w:szCs w:val="18"/>
              </w:rPr>
              <w:t>和</w:t>
            </w:r>
            <w:r>
              <w:rPr>
                <w:sz w:val="18"/>
                <w:szCs w:val="18"/>
              </w:rPr>
              <w:t>WBCSD</w:t>
            </w:r>
            <w:r>
              <w:rPr>
                <w:sz w:val="18"/>
                <w:szCs w:val="18"/>
              </w:rPr>
              <w:t>联合建立的温室气体核算体系，是全球最早开展的温室气体核算标准项目之一。该体系是针对企业、组织或者产品进行核算的方法体系，旨在为企业温室气体排放许可目录建立国际公认的核算和报告准则。主要包括：《温室气体核算体系：企业核算与报告标准（</w:t>
            </w:r>
            <w:r>
              <w:rPr>
                <w:sz w:val="18"/>
                <w:szCs w:val="18"/>
              </w:rPr>
              <w:t>2011</w:t>
            </w:r>
            <w:r>
              <w:rPr>
                <w:sz w:val="18"/>
                <w:szCs w:val="18"/>
              </w:rPr>
              <w:t>）》《温室气体核算体系：产品生命周期核算和报告标准（</w:t>
            </w:r>
            <w:r>
              <w:rPr>
                <w:sz w:val="18"/>
                <w:szCs w:val="18"/>
              </w:rPr>
              <w:t>2011</w:t>
            </w:r>
            <w:r>
              <w:rPr>
                <w:sz w:val="18"/>
                <w:szCs w:val="18"/>
              </w:rPr>
              <w:t>）》《温室气体核算体系：企业价值链（范围三）核算与报告标准（</w:t>
            </w:r>
            <w:r>
              <w:rPr>
                <w:sz w:val="18"/>
                <w:szCs w:val="18"/>
              </w:rPr>
              <w:t>2011</w:t>
            </w:r>
            <w:r>
              <w:rPr>
                <w:sz w:val="18"/>
                <w:szCs w:val="18"/>
              </w:rPr>
              <w:t>）》。</w:t>
            </w:r>
            <w:r>
              <w:rPr>
                <w:sz w:val="18"/>
                <w:szCs w:val="18"/>
              </w:rPr>
              <w:t xml:space="preserve"> </w:t>
            </w:r>
          </w:p>
          <w:p w:rsidR="00C21097" w:rsidRDefault="009C7FEC">
            <w:pPr>
              <w:snapToGrid w:val="0"/>
              <w:spacing w:line="360" w:lineRule="auto"/>
              <w:ind w:firstLineChars="200" w:firstLine="360"/>
              <w:rPr>
                <w:sz w:val="18"/>
                <w:szCs w:val="18"/>
              </w:rPr>
            </w:pPr>
            <w:r>
              <w:rPr>
                <w:sz w:val="18"/>
                <w:szCs w:val="18"/>
              </w:rPr>
              <w:t>2018</w:t>
            </w:r>
            <w:r>
              <w:rPr>
                <w:sz w:val="18"/>
                <w:szCs w:val="18"/>
              </w:rPr>
              <w:t>年国际标准化组织发布新版</w:t>
            </w:r>
            <w:r>
              <w:rPr>
                <w:sz w:val="18"/>
                <w:szCs w:val="18"/>
              </w:rPr>
              <w:t>ISO 14064-1</w:t>
            </w:r>
            <w:r>
              <w:rPr>
                <w:sz w:val="18"/>
                <w:szCs w:val="18"/>
              </w:rPr>
              <w:t>：</w:t>
            </w:r>
            <w:r>
              <w:rPr>
                <w:sz w:val="18"/>
                <w:szCs w:val="18"/>
              </w:rPr>
              <w:t>2018</w:t>
            </w:r>
            <w:r>
              <w:rPr>
                <w:sz w:val="18"/>
                <w:szCs w:val="18"/>
              </w:rPr>
              <w:t>《温室气体</w:t>
            </w:r>
            <w:r>
              <w:rPr>
                <w:sz w:val="18"/>
                <w:szCs w:val="18"/>
              </w:rPr>
              <w:t xml:space="preserve"> </w:t>
            </w:r>
            <w:r>
              <w:rPr>
                <w:sz w:val="18"/>
                <w:szCs w:val="18"/>
              </w:rPr>
              <w:t>第一部分</w:t>
            </w:r>
            <w:r>
              <w:rPr>
                <w:sz w:val="18"/>
                <w:szCs w:val="18"/>
              </w:rPr>
              <w:t xml:space="preserve"> </w:t>
            </w:r>
            <w:r>
              <w:rPr>
                <w:sz w:val="18"/>
                <w:szCs w:val="18"/>
              </w:rPr>
              <w:t>组织层次上对温室气体排放和清除的量化和报告的规范及指南》，相较于</w:t>
            </w:r>
            <w:r>
              <w:rPr>
                <w:sz w:val="18"/>
                <w:szCs w:val="18"/>
              </w:rPr>
              <w:t>2006</w:t>
            </w:r>
            <w:r>
              <w:rPr>
                <w:sz w:val="18"/>
                <w:szCs w:val="18"/>
              </w:rPr>
              <w:t>版，新版标准将</w:t>
            </w:r>
            <w:r>
              <w:rPr>
                <w:sz w:val="18"/>
                <w:szCs w:val="18"/>
              </w:rPr>
              <w:t>“</w:t>
            </w:r>
            <w:r>
              <w:rPr>
                <w:sz w:val="18"/>
                <w:szCs w:val="18"/>
              </w:rPr>
              <w:t>运营边界</w:t>
            </w:r>
            <w:r>
              <w:rPr>
                <w:sz w:val="18"/>
                <w:szCs w:val="18"/>
              </w:rPr>
              <w:t>”</w:t>
            </w:r>
            <w:r>
              <w:rPr>
                <w:sz w:val="18"/>
                <w:szCs w:val="18"/>
              </w:rPr>
              <w:t>更名为</w:t>
            </w:r>
            <w:r>
              <w:rPr>
                <w:sz w:val="18"/>
                <w:szCs w:val="18"/>
              </w:rPr>
              <w:t>“</w:t>
            </w:r>
            <w:r>
              <w:rPr>
                <w:sz w:val="18"/>
                <w:szCs w:val="18"/>
              </w:rPr>
              <w:t>报告边界</w:t>
            </w:r>
            <w:r>
              <w:rPr>
                <w:sz w:val="18"/>
                <w:szCs w:val="18"/>
              </w:rPr>
              <w:t>”</w:t>
            </w:r>
            <w:r>
              <w:rPr>
                <w:sz w:val="18"/>
                <w:szCs w:val="18"/>
              </w:rPr>
              <w:t>，将包括价值链上更多类型的间接排放纳入组织的间接排放范围，并将间接温室气体排放分为五个具体类别。这一变化也体现了价值链上温室气体排放核算的重要性。</w:t>
            </w:r>
          </w:p>
          <w:p w:rsidR="00C21097" w:rsidRPr="005A2BA6" w:rsidRDefault="009C7FEC">
            <w:pPr>
              <w:snapToGrid w:val="0"/>
              <w:spacing w:line="360" w:lineRule="auto"/>
              <w:ind w:firstLineChars="200" w:firstLine="360"/>
              <w:rPr>
                <w:sz w:val="18"/>
                <w:szCs w:val="18"/>
                <w:highlight w:val="red"/>
              </w:rPr>
            </w:pPr>
            <w:r>
              <w:rPr>
                <w:sz w:val="18"/>
                <w:szCs w:val="18"/>
              </w:rPr>
              <w:t>我国开展</w:t>
            </w:r>
            <w:r>
              <w:rPr>
                <w:sz w:val="18"/>
                <w:szCs w:val="18"/>
              </w:rPr>
              <w:t>价值链温室气体核算</w:t>
            </w:r>
            <w:r>
              <w:rPr>
                <w:sz w:val="18"/>
                <w:szCs w:val="18"/>
              </w:rPr>
              <w:t>研究较晚，目前尚未形成国家</w:t>
            </w:r>
            <w:r>
              <w:rPr>
                <w:sz w:val="18"/>
                <w:szCs w:val="18"/>
              </w:rPr>
              <w:t>及</w:t>
            </w:r>
            <w:r>
              <w:rPr>
                <w:sz w:val="18"/>
                <w:szCs w:val="18"/>
              </w:rPr>
              <w:t>行业层面的完善的</w:t>
            </w:r>
            <w:r>
              <w:rPr>
                <w:sz w:val="18"/>
                <w:szCs w:val="18"/>
              </w:rPr>
              <w:t>价值链温室气体核算</w:t>
            </w:r>
            <w:r>
              <w:rPr>
                <w:sz w:val="18"/>
                <w:szCs w:val="18"/>
              </w:rPr>
              <w:t>方法标准体系。</w:t>
            </w:r>
            <w:r>
              <w:rPr>
                <w:rFonts w:hint="eastAsia"/>
                <w:sz w:val="18"/>
                <w:szCs w:val="18"/>
              </w:rPr>
              <w:t>但各行业头部企业</w:t>
            </w:r>
            <w:r>
              <w:rPr>
                <w:rFonts w:hint="eastAsia"/>
                <w:sz w:val="18"/>
                <w:szCs w:val="18"/>
              </w:rPr>
              <w:t>如</w:t>
            </w:r>
            <w:r>
              <w:rPr>
                <w:rFonts w:hint="eastAsia"/>
                <w:sz w:val="18"/>
                <w:szCs w:val="18"/>
              </w:rPr>
              <w:t>苹果、</w:t>
            </w:r>
            <w:r>
              <w:rPr>
                <w:rFonts w:hint="eastAsia"/>
                <w:sz w:val="18"/>
                <w:szCs w:val="18"/>
              </w:rPr>
              <w:t>联想、</w:t>
            </w:r>
            <w:r>
              <w:rPr>
                <w:rFonts w:hint="eastAsia"/>
                <w:sz w:val="18"/>
                <w:szCs w:val="18"/>
              </w:rPr>
              <w:t>台湾水泥股份有限公司</w:t>
            </w:r>
            <w:r>
              <w:rPr>
                <w:rFonts w:hint="eastAsia"/>
                <w:sz w:val="18"/>
                <w:szCs w:val="18"/>
              </w:rPr>
              <w:t>等</w:t>
            </w:r>
            <w:r>
              <w:rPr>
                <w:rFonts w:hint="eastAsia"/>
                <w:sz w:val="18"/>
                <w:szCs w:val="18"/>
              </w:rPr>
              <w:t>已</w:t>
            </w:r>
            <w:r>
              <w:rPr>
                <w:rFonts w:hint="eastAsia"/>
                <w:sz w:val="18"/>
                <w:szCs w:val="18"/>
              </w:rPr>
              <w:t>依据国际标准开展价值链（范围三）温室气体排放</w:t>
            </w:r>
            <w:r>
              <w:rPr>
                <w:rFonts w:hint="eastAsia"/>
                <w:sz w:val="18"/>
                <w:szCs w:val="18"/>
              </w:rPr>
              <w:t>核查工作</w:t>
            </w:r>
            <w:r>
              <w:rPr>
                <w:rFonts w:hint="eastAsia"/>
                <w:sz w:val="18"/>
                <w:szCs w:val="18"/>
              </w:rPr>
              <w:t>，</w:t>
            </w:r>
            <w:r>
              <w:rPr>
                <w:rFonts w:hint="eastAsia"/>
                <w:sz w:val="18"/>
                <w:szCs w:val="18"/>
              </w:rPr>
              <w:t>尽快制定</w:t>
            </w:r>
            <w:r>
              <w:rPr>
                <w:rFonts w:hint="eastAsia"/>
                <w:sz w:val="18"/>
                <w:szCs w:val="18"/>
              </w:rPr>
              <w:t>具有</w:t>
            </w:r>
            <w:r>
              <w:rPr>
                <w:rFonts w:hint="eastAsia"/>
                <w:sz w:val="18"/>
                <w:szCs w:val="18"/>
              </w:rPr>
              <w:t>行业特性的价值链温室气体核算标准有助于企业精准核算与减碳</w:t>
            </w:r>
            <w:r>
              <w:rPr>
                <w:rFonts w:hint="eastAsia"/>
                <w:sz w:val="18"/>
                <w:szCs w:val="18"/>
              </w:rPr>
              <w:t>。</w:t>
            </w:r>
          </w:p>
          <w:p w:rsidR="00C21097" w:rsidRDefault="009C7FEC">
            <w:pPr>
              <w:numPr>
                <w:ilvl w:val="0"/>
                <w:numId w:val="2"/>
              </w:numPr>
              <w:rPr>
                <w:sz w:val="18"/>
              </w:rPr>
            </w:pPr>
            <w:r>
              <w:rPr>
                <w:sz w:val="18"/>
                <w:u w:val="single"/>
              </w:rPr>
              <w:t>项目与国际标准或国外先进标准采用程度的考虑：</w:t>
            </w:r>
          </w:p>
          <w:p w:rsidR="00C21097" w:rsidRDefault="009C7FEC">
            <w:pPr>
              <w:snapToGrid w:val="0"/>
              <w:spacing w:line="360" w:lineRule="auto"/>
              <w:ind w:firstLineChars="200" w:firstLine="360"/>
              <w:rPr>
                <w:sz w:val="18"/>
                <w:szCs w:val="18"/>
              </w:rPr>
            </w:pPr>
            <w:r>
              <w:rPr>
                <w:rFonts w:hint="eastAsia"/>
                <w:sz w:val="18"/>
                <w:szCs w:val="18"/>
              </w:rPr>
              <w:lastRenderedPageBreak/>
              <w:t>为适应国内外碳信息共享与互认要求，本文件参考</w:t>
            </w:r>
            <w:r>
              <w:rPr>
                <w:rFonts w:hint="eastAsia"/>
                <w:sz w:val="18"/>
                <w:szCs w:val="18"/>
              </w:rPr>
              <w:t>GHG Protocol</w:t>
            </w:r>
            <w:r>
              <w:rPr>
                <w:rFonts w:hint="eastAsia"/>
                <w:sz w:val="18"/>
                <w:szCs w:val="18"/>
              </w:rPr>
              <w:t>《温室气体核算体系：企业价值链（范围三）核算与报告标准（</w:t>
            </w:r>
            <w:r>
              <w:rPr>
                <w:rFonts w:hint="eastAsia"/>
                <w:sz w:val="18"/>
                <w:szCs w:val="18"/>
              </w:rPr>
              <w:t>2011</w:t>
            </w:r>
            <w:r>
              <w:rPr>
                <w:rFonts w:hint="eastAsia"/>
                <w:sz w:val="18"/>
                <w:szCs w:val="18"/>
              </w:rPr>
              <w:t>）》框架，同时参考其补充文件</w:t>
            </w:r>
            <w:r>
              <w:rPr>
                <w:rFonts w:hint="eastAsia"/>
                <w:i/>
                <w:iCs/>
                <w:sz w:val="18"/>
                <w:szCs w:val="18"/>
              </w:rPr>
              <w:t xml:space="preserve">Technical </w:t>
            </w:r>
            <w:r>
              <w:rPr>
                <w:rFonts w:hint="eastAsia"/>
                <w:i/>
                <w:iCs/>
                <w:sz w:val="18"/>
                <w:szCs w:val="18"/>
              </w:rPr>
              <w:t>Guidance for Calculating Scope 3 Emissions</w:t>
            </w:r>
            <w:r>
              <w:rPr>
                <w:rFonts w:hint="eastAsia"/>
                <w:sz w:val="18"/>
                <w:szCs w:val="18"/>
              </w:rPr>
              <w:t>（《范围三排放计算技术导则》）。并考虑与</w:t>
            </w:r>
            <w:r w:rsidRPr="005A2BA6">
              <w:rPr>
                <w:sz w:val="18"/>
                <w:szCs w:val="18"/>
              </w:rPr>
              <w:t>GB</w:t>
            </w:r>
            <w:r w:rsidRPr="005A2BA6">
              <w:rPr>
                <w:sz w:val="18"/>
                <w:szCs w:val="18"/>
              </w:rPr>
              <w:t xml:space="preserve"> </w:t>
            </w:r>
            <w:r>
              <w:rPr>
                <w:rFonts w:hint="eastAsia"/>
                <w:sz w:val="18"/>
                <w:szCs w:val="18"/>
              </w:rPr>
              <w:t>2</w:t>
            </w:r>
            <w:r w:rsidRPr="005A2BA6">
              <w:rPr>
                <w:sz w:val="18"/>
                <w:szCs w:val="18"/>
              </w:rPr>
              <w:t>4040</w:t>
            </w:r>
            <w:r>
              <w:rPr>
                <w:rFonts w:hint="eastAsia"/>
                <w:sz w:val="18"/>
                <w:szCs w:val="18"/>
              </w:rPr>
              <w:t>-</w:t>
            </w:r>
            <w:r w:rsidRPr="005A2BA6">
              <w:rPr>
                <w:sz w:val="18"/>
                <w:szCs w:val="18"/>
              </w:rPr>
              <w:t>200</w:t>
            </w:r>
            <w:r>
              <w:rPr>
                <w:rFonts w:hint="eastAsia"/>
                <w:sz w:val="18"/>
                <w:szCs w:val="18"/>
              </w:rPr>
              <w:t>8</w:t>
            </w:r>
            <w:r w:rsidRPr="005A2BA6">
              <w:rPr>
                <w:rFonts w:hint="eastAsia"/>
                <w:sz w:val="18"/>
                <w:szCs w:val="18"/>
              </w:rPr>
              <w:t>《环境管理</w:t>
            </w:r>
            <w:r>
              <w:rPr>
                <w:rFonts w:hint="eastAsia"/>
                <w:sz w:val="18"/>
                <w:szCs w:val="18"/>
              </w:rPr>
              <w:t xml:space="preserve"> </w:t>
            </w:r>
            <w:r w:rsidRPr="005A2BA6">
              <w:rPr>
                <w:rFonts w:hint="eastAsia"/>
                <w:sz w:val="18"/>
                <w:szCs w:val="18"/>
              </w:rPr>
              <w:t>生命周期评价</w:t>
            </w:r>
            <w:r>
              <w:rPr>
                <w:rFonts w:hint="eastAsia"/>
                <w:sz w:val="18"/>
                <w:szCs w:val="18"/>
              </w:rPr>
              <w:t xml:space="preserve"> </w:t>
            </w:r>
            <w:r w:rsidRPr="005A2BA6">
              <w:rPr>
                <w:rFonts w:hint="eastAsia"/>
                <w:sz w:val="18"/>
                <w:szCs w:val="18"/>
              </w:rPr>
              <w:t>原则与框架》</w:t>
            </w:r>
            <w:r>
              <w:rPr>
                <w:rFonts w:hint="eastAsia"/>
                <w:sz w:val="18"/>
                <w:szCs w:val="18"/>
              </w:rPr>
              <w:t>、</w:t>
            </w:r>
            <w:r>
              <w:rPr>
                <w:rFonts w:hint="eastAsia"/>
                <w:sz w:val="18"/>
                <w:szCs w:val="18"/>
              </w:rPr>
              <w:t>GB/T 32150-2015</w:t>
            </w:r>
            <w:r>
              <w:rPr>
                <w:rFonts w:hint="eastAsia"/>
                <w:sz w:val="18"/>
                <w:szCs w:val="18"/>
              </w:rPr>
              <w:t>《工业企业温室气体排放核算和报告通则》</w:t>
            </w:r>
            <w:r w:rsidRPr="005A2BA6">
              <w:rPr>
                <w:rFonts w:hint="eastAsia"/>
                <w:sz w:val="18"/>
                <w:szCs w:val="18"/>
              </w:rPr>
              <w:t>等标准的协调一致。</w:t>
            </w:r>
          </w:p>
          <w:p w:rsidR="00C21097" w:rsidRDefault="009C7FEC">
            <w:pPr>
              <w:numPr>
                <w:ilvl w:val="0"/>
                <w:numId w:val="2"/>
              </w:numPr>
              <w:rPr>
                <w:sz w:val="18"/>
              </w:rPr>
            </w:pPr>
            <w:r>
              <w:rPr>
                <w:sz w:val="18"/>
                <w:u w:val="single"/>
              </w:rPr>
              <w:t>与国内相关标准间的关系：</w:t>
            </w:r>
          </w:p>
          <w:p w:rsidR="00C21097" w:rsidRDefault="009C7FEC">
            <w:pPr>
              <w:ind w:firstLineChars="200" w:firstLine="360"/>
              <w:rPr>
                <w:sz w:val="18"/>
                <w:szCs w:val="18"/>
              </w:rPr>
            </w:pPr>
            <w:r>
              <w:rPr>
                <w:sz w:val="18"/>
                <w:szCs w:val="18"/>
              </w:rPr>
              <w:t>该标准项目目前没有对应的国内相关标准。</w:t>
            </w:r>
            <w:r>
              <w:rPr>
                <w:rFonts w:hint="eastAsia"/>
                <w:sz w:val="18"/>
                <w:szCs w:val="18"/>
              </w:rPr>
              <w:t>作为国内已实施的温室气体核算标准</w:t>
            </w:r>
            <w:r>
              <w:rPr>
                <w:rFonts w:hint="eastAsia"/>
                <w:sz w:val="18"/>
                <w:szCs w:val="18"/>
              </w:rPr>
              <w:t>的补充</w:t>
            </w:r>
            <w:r>
              <w:rPr>
                <w:rFonts w:hint="eastAsia"/>
                <w:sz w:val="18"/>
                <w:szCs w:val="18"/>
              </w:rPr>
              <w:t>，</w:t>
            </w:r>
            <w:r>
              <w:rPr>
                <w:rFonts w:hint="eastAsia"/>
                <w:sz w:val="18"/>
                <w:szCs w:val="18"/>
              </w:rPr>
              <w:t>与</w:t>
            </w:r>
            <w:r>
              <w:rPr>
                <w:rFonts w:hint="eastAsia"/>
                <w:sz w:val="18"/>
                <w:szCs w:val="18"/>
              </w:rPr>
              <w:t>GB</w:t>
            </w:r>
            <w:r>
              <w:rPr>
                <w:rFonts w:hint="eastAsia"/>
                <w:sz w:val="18"/>
                <w:szCs w:val="18"/>
              </w:rPr>
              <w:t>/T</w:t>
            </w:r>
            <w:r>
              <w:rPr>
                <w:rFonts w:hint="eastAsia"/>
                <w:sz w:val="18"/>
                <w:szCs w:val="18"/>
              </w:rPr>
              <w:t xml:space="preserve"> 32150</w:t>
            </w:r>
            <w:r>
              <w:rPr>
                <w:rFonts w:hint="eastAsia"/>
                <w:sz w:val="18"/>
                <w:szCs w:val="18"/>
              </w:rPr>
              <w:t>与</w:t>
            </w:r>
            <w:r>
              <w:rPr>
                <w:rFonts w:hint="eastAsia"/>
                <w:sz w:val="18"/>
                <w:szCs w:val="18"/>
              </w:rPr>
              <w:t>GB/T 32151</w:t>
            </w:r>
            <w:r>
              <w:rPr>
                <w:rFonts w:hint="eastAsia"/>
                <w:sz w:val="18"/>
                <w:szCs w:val="18"/>
              </w:rPr>
              <w:t>协调一致</w:t>
            </w:r>
            <w:r>
              <w:rPr>
                <w:rFonts w:hint="eastAsia"/>
                <w:sz w:val="18"/>
                <w:szCs w:val="18"/>
              </w:rPr>
              <w:t>。</w:t>
            </w:r>
          </w:p>
          <w:p w:rsidR="00C21097" w:rsidRDefault="009C7FEC">
            <w:pPr>
              <w:numPr>
                <w:ilvl w:val="0"/>
                <w:numId w:val="2"/>
              </w:numPr>
              <w:rPr>
                <w:sz w:val="18"/>
              </w:rPr>
            </w:pPr>
            <w:r>
              <w:rPr>
                <w:sz w:val="18"/>
                <w:u w:val="single"/>
              </w:rPr>
              <w:t>指出是否发现有知识产权的问题</w:t>
            </w:r>
            <w:r>
              <w:rPr>
                <w:sz w:val="18"/>
              </w:rPr>
              <w:t>；</w:t>
            </w:r>
          </w:p>
          <w:p w:rsidR="00C21097" w:rsidRDefault="009C7FEC">
            <w:pPr>
              <w:ind w:left="360"/>
              <w:rPr>
                <w:sz w:val="18"/>
              </w:rPr>
            </w:pPr>
            <w:r>
              <w:rPr>
                <w:sz w:val="18"/>
              </w:rPr>
              <w:t>本标准不涉及知识产权的问题。</w:t>
            </w:r>
          </w:p>
        </w:tc>
      </w:tr>
      <w:tr w:rsidR="00C21097">
        <w:trPr>
          <w:trHeight w:val="1576"/>
          <w:jc w:val="center"/>
        </w:trPr>
        <w:tc>
          <w:tcPr>
            <w:tcW w:w="1476" w:type="dxa"/>
            <w:tcBorders>
              <w:top w:val="single" w:sz="4" w:space="0" w:color="auto"/>
              <w:left w:val="single" w:sz="4" w:space="0" w:color="auto"/>
              <w:bottom w:val="single" w:sz="4" w:space="0" w:color="auto"/>
              <w:right w:val="single" w:sz="4" w:space="0" w:color="auto"/>
            </w:tcBorders>
            <w:vAlign w:val="center"/>
          </w:tcPr>
          <w:p w:rsidR="00C21097" w:rsidRDefault="009C7FEC">
            <w:pPr>
              <w:jc w:val="center"/>
              <w:rPr>
                <w:sz w:val="18"/>
              </w:rPr>
            </w:pPr>
            <w:r>
              <w:rPr>
                <w:rFonts w:hint="eastAsia"/>
                <w:sz w:val="18"/>
                <w:szCs w:val="18"/>
              </w:rPr>
              <w:lastRenderedPageBreak/>
              <w:t>牵头</w:t>
            </w:r>
            <w:r>
              <w:rPr>
                <w:rFonts w:hint="eastAsia"/>
                <w:sz w:val="18"/>
              </w:rPr>
              <w:t>单位</w:t>
            </w:r>
          </w:p>
        </w:tc>
        <w:tc>
          <w:tcPr>
            <w:tcW w:w="2636" w:type="dxa"/>
            <w:gridSpan w:val="4"/>
            <w:tcBorders>
              <w:top w:val="single" w:sz="4" w:space="0" w:color="auto"/>
              <w:left w:val="single" w:sz="4" w:space="0" w:color="auto"/>
              <w:bottom w:val="single" w:sz="4" w:space="0" w:color="auto"/>
              <w:right w:val="single" w:sz="4" w:space="0" w:color="auto"/>
            </w:tcBorders>
            <w:vAlign w:val="center"/>
          </w:tcPr>
          <w:p w:rsidR="00C21097" w:rsidRDefault="00C21097">
            <w:pPr>
              <w:pStyle w:val="a6"/>
              <w:pBdr>
                <w:bottom w:val="none" w:sz="0" w:space="0" w:color="auto"/>
              </w:pBdr>
              <w:tabs>
                <w:tab w:val="left" w:pos="420"/>
              </w:tabs>
              <w:snapToGrid/>
            </w:pPr>
          </w:p>
          <w:p w:rsidR="00C21097" w:rsidRDefault="009C7FEC">
            <w:pPr>
              <w:pStyle w:val="a6"/>
              <w:pBdr>
                <w:bottom w:val="none" w:sz="0" w:space="0" w:color="auto"/>
              </w:pBdr>
              <w:tabs>
                <w:tab w:val="left" w:pos="420"/>
              </w:tabs>
              <w:snapToGrid/>
            </w:pPr>
            <w:r>
              <w:rPr>
                <w:rFonts w:hint="eastAsia"/>
              </w:rPr>
              <w:t>（签字、盖公章）</w:t>
            </w:r>
          </w:p>
          <w:p w:rsidR="00C21097" w:rsidRDefault="00C21097">
            <w:pPr>
              <w:pStyle w:val="a6"/>
              <w:pBdr>
                <w:bottom w:val="none" w:sz="0" w:space="0" w:color="auto"/>
              </w:pBdr>
              <w:tabs>
                <w:tab w:val="left" w:pos="420"/>
              </w:tabs>
              <w:snapToGrid/>
            </w:pPr>
          </w:p>
          <w:p w:rsidR="00C21097" w:rsidRDefault="009C7FEC">
            <w:pPr>
              <w:jc w:val="center"/>
              <w:rPr>
                <w:sz w:val="18"/>
              </w:rPr>
            </w:pPr>
            <w:r>
              <w:rPr>
                <w:rFonts w:hint="eastAsia"/>
                <w:sz w:val="18"/>
                <w:szCs w:val="18"/>
              </w:rPr>
              <w:t>月</w:t>
            </w:r>
            <w:r>
              <w:rPr>
                <w:rFonts w:hint="eastAsia"/>
                <w:sz w:val="18"/>
                <w:szCs w:val="18"/>
              </w:rPr>
              <w:t xml:space="preserve">    </w:t>
            </w:r>
            <w:r>
              <w:rPr>
                <w:rFonts w:hint="eastAsia"/>
                <w:sz w:val="18"/>
                <w:szCs w:val="18"/>
              </w:rPr>
              <w:t>日</w:t>
            </w:r>
          </w:p>
        </w:tc>
        <w:tc>
          <w:tcPr>
            <w:tcW w:w="2118" w:type="dxa"/>
            <w:gridSpan w:val="3"/>
            <w:tcBorders>
              <w:top w:val="single" w:sz="4" w:space="0" w:color="auto"/>
              <w:left w:val="single" w:sz="4" w:space="0" w:color="auto"/>
              <w:bottom w:val="single" w:sz="4" w:space="0" w:color="auto"/>
              <w:right w:val="single" w:sz="4" w:space="0" w:color="auto"/>
            </w:tcBorders>
            <w:vAlign w:val="center"/>
          </w:tcPr>
          <w:p w:rsidR="00C21097" w:rsidRDefault="009C7FEC">
            <w:pPr>
              <w:jc w:val="center"/>
              <w:rPr>
                <w:sz w:val="18"/>
              </w:rPr>
            </w:pPr>
            <w:r>
              <w:rPr>
                <w:rFonts w:ascii="宋体" w:hAnsi="宋体"/>
                <w:sz w:val="18"/>
                <w:szCs w:val="18"/>
              </w:rPr>
              <w:t>归口管理部门</w:t>
            </w:r>
          </w:p>
        </w:tc>
        <w:tc>
          <w:tcPr>
            <w:tcW w:w="2868" w:type="dxa"/>
            <w:gridSpan w:val="2"/>
            <w:tcBorders>
              <w:top w:val="single" w:sz="4" w:space="0" w:color="auto"/>
              <w:left w:val="single" w:sz="4" w:space="0" w:color="auto"/>
              <w:bottom w:val="single" w:sz="4" w:space="0" w:color="auto"/>
              <w:right w:val="single" w:sz="4" w:space="0" w:color="auto"/>
            </w:tcBorders>
            <w:vAlign w:val="center"/>
          </w:tcPr>
          <w:p w:rsidR="00C21097" w:rsidRDefault="00C21097">
            <w:pPr>
              <w:pStyle w:val="a6"/>
              <w:pBdr>
                <w:bottom w:val="none" w:sz="0" w:space="0" w:color="auto"/>
              </w:pBdr>
              <w:tabs>
                <w:tab w:val="left" w:pos="420"/>
              </w:tabs>
              <w:snapToGrid/>
            </w:pPr>
          </w:p>
          <w:p w:rsidR="00C21097" w:rsidRDefault="009C7FEC">
            <w:pPr>
              <w:pStyle w:val="a6"/>
              <w:pBdr>
                <w:bottom w:val="none" w:sz="0" w:space="0" w:color="auto"/>
              </w:pBdr>
              <w:tabs>
                <w:tab w:val="left" w:pos="420"/>
              </w:tabs>
              <w:snapToGrid/>
            </w:pPr>
            <w:r>
              <w:rPr>
                <w:rFonts w:hint="eastAsia"/>
              </w:rPr>
              <w:t>（签字、盖公章）</w:t>
            </w:r>
          </w:p>
          <w:p w:rsidR="00C21097" w:rsidRDefault="00C21097">
            <w:pPr>
              <w:pStyle w:val="a6"/>
              <w:pBdr>
                <w:bottom w:val="none" w:sz="0" w:space="0" w:color="auto"/>
              </w:pBdr>
              <w:tabs>
                <w:tab w:val="left" w:pos="420"/>
              </w:tabs>
              <w:snapToGrid/>
            </w:pPr>
          </w:p>
          <w:p w:rsidR="00C21097" w:rsidRDefault="009C7FEC">
            <w:pPr>
              <w:pStyle w:val="a6"/>
              <w:pBdr>
                <w:bottom w:val="none" w:sz="0" w:space="0" w:color="auto"/>
              </w:pBdr>
              <w:tabs>
                <w:tab w:val="left" w:pos="420"/>
              </w:tabs>
              <w:snapToGrid/>
              <w:ind w:firstLineChars="250" w:firstLine="450"/>
            </w:pPr>
            <w:r>
              <w:rPr>
                <w:rFonts w:hint="eastAsia"/>
              </w:rPr>
              <w:t>月</w:t>
            </w:r>
            <w:r>
              <w:t xml:space="preserve">    </w:t>
            </w:r>
            <w:r>
              <w:rPr>
                <w:rFonts w:hint="eastAsia"/>
              </w:rPr>
              <w:t>日</w:t>
            </w:r>
          </w:p>
        </w:tc>
      </w:tr>
    </w:tbl>
    <w:p w:rsidR="00C21097" w:rsidRDefault="009C7FEC">
      <w:pPr>
        <w:ind w:firstLineChars="200" w:firstLine="360"/>
        <w:rPr>
          <w:sz w:val="18"/>
          <w:szCs w:val="18"/>
        </w:rPr>
      </w:pPr>
      <w:r>
        <w:rPr>
          <w:rFonts w:hint="eastAsia"/>
          <w:sz w:val="18"/>
          <w:szCs w:val="18"/>
        </w:rPr>
        <w:t>注：</w:t>
      </w:r>
      <w:r>
        <w:rPr>
          <w:rFonts w:hint="eastAsia"/>
          <w:sz w:val="18"/>
          <w:szCs w:val="18"/>
        </w:rPr>
        <w:t>1.</w:t>
      </w:r>
      <w:r>
        <w:rPr>
          <w:rFonts w:hint="eastAsia"/>
          <w:sz w:val="18"/>
          <w:szCs w:val="18"/>
        </w:rPr>
        <w:t>填写制定或修订项目中，若选择修订必须填写被修订标准号；</w:t>
      </w:r>
    </w:p>
    <w:p w:rsidR="00C21097" w:rsidRDefault="009C7FEC">
      <w:pPr>
        <w:ind w:firstLineChars="400" w:firstLine="720"/>
        <w:rPr>
          <w:sz w:val="18"/>
          <w:szCs w:val="18"/>
        </w:rPr>
      </w:pPr>
      <w:r>
        <w:rPr>
          <w:rFonts w:hint="eastAsia"/>
          <w:sz w:val="18"/>
          <w:szCs w:val="18"/>
        </w:rPr>
        <w:t>2.</w:t>
      </w:r>
      <w:r>
        <w:rPr>
          <w:rFonts w:hint="eastAsia"/>
          <w:sz w:val="18"/>
          <w:szCs w:val="18"/>
        </w:rPr>
        <w:t>选择采用国际标准，必须填写采标号及采用程度；</w:t>
      </w:r>
    </w:p>
    <w:p w:rsidR="00C21097" w:rsidRDefault="009C7FEC">
      <w:pPr>
        <w:ind w:firstLineChars="400" w:firstLine="720"/>
      </w:pPr>
      <w:r>
        <w:rPr>
          <w:rFonts w:hint="eastAsia"/>
          <w:sz w:val="18"/>
          <w:szCs w:val="18"/>
        </w:rPr>
        <w:t>3.</w:t>
      </w:r>
      <w:r>
        <w:rPr>
          <w:rFonts w:hint="eastAsia"/>
          <w:sz w:val="18"/>
          <w:szCs w:val="18"/>
        </w:rPr>
        <w:t>选择采用快速程序，必须填写快速程序代码。</w:t>
      </w:r>
    </w:p>
    <w:sectPr w:rsidR="00C21097">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FEC" w:rsidRDefault="009C7FEC">
      <w:r>
        <w:separator/>
      </w:r>
    </w:p>
  </w:endnote>
  <w:endnote w:type="continuationSeparator" w:id="0">
    <w:p w:rsidR="009C7FEC" w:rsidRDefault="009C7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1097" w:rsidRDefault="009C7FEC">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C21097" w:rsidRDefault="009C7FEC">
                          <w:pPr>
                            <w:pStyle w:val="a4"/>
                          </w:pPr>
                          <w:r>
                            <w:fldChar w:fldCharType="begin"/>
                          </w:r>
                          <w:r>
                            <w:instrText xml:space="preserve"> PAGE  \* MERGEFORMAT </w:instrText>
                          </w:r>
                          <w:r>
                            <w:fldChar w:fldCharType="separate"/>
                          </w:r>
                          <w:r w:rsidR="005A2BA6">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C21097" w:rsidRDefault="009C7FEC">
                    <w:pPr>
                      <w:pStyle w:val="a4"/>
                    </w:pPr>
                    <w:r>
                      <w:fldChar w:fldCharType="begin"/>
                    </w:r>
                    <w:r>
                      <w:instrText xml:space="preserve"> PAGE  \* MERGEFORMAT </w:instrText>
                    </w:r>
                    <w:r>
                      <w:fldChar w:fldCharType="separate"/>
                    </w:r>
                    <w:r w:rsidR="005A2BA6">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FEC" w:rsidRDefault="009C7FEC">
      <w:r>
        <w:separator/>
      </w:r>
    </w:p>
  </w:footnote>
  <w:footnote w:type="continuationSeparator" w:id="0">
    <w:p w:rsidR="009C7FEC" w:rsidRDefault="009C7F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31DEEAB"/>
    <w:multiLevelType w:val="singleLevel"/>
    <w:tmpl w:val="D31DEEAB"/>
    <w:lvl w:ilvl="0">
      <w:start w:val="1"/>
      <w:numFmt w:val="decimal"/>
      <w:suff w:val="nothing"/>
      <w:lvlText w:val="%1．"/>
      <w:lvlJc w:val="left"/>
      <w:pPr>
        <w:ind w:left="0" w:firstLine="400"/>
      </w:pPr>
      <w:rPr>
        <w:rFonts w:hint="default"/>
      </w:rPr>
    </w:lvl>
  </w:abstractNum>
  <w:abstractNum w:abstractNumId="1" w15:restartNumberingAfterBreak="0">
    <w:nsid w:val="4A3A63FB"/>
    <w:multiLevelType w:val="multilevel"/>
    <w:tmpl w:val="4A3A63FB"/>
    <w:lvl w:ilvl="0">
      <w:start w:val="1"/>
      <w:numFmt w:val="decimal"/>
      <w:lvlText w:val="%1."/>
      <w:lvlJc w:val="left"/>
      <w:pPr>
        <w:tabs>
          <w:tab w:val="left" w:pos="360"/>
        </w:tabs>
        <w:ind w:left="360" w:hanging="360"/>
      </w:pPr>
      <w:rPr>
        <w:u w:val="single"/>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2OWFiNzE3NjlhZjQ5MmRkYzg4NDg5MWI4MDJjN2EifQ=="/>
  </w:docVars>
  <w:rsids>
    <w:rsidRoot w:val="00D94DE0"/>
    <w:rsid w:val="00033288"/>
    <w:rsid w:val="000C0EF0"/>
    <w:rsid w:val="000D2684"/>
    <w:rsid w:val="000F1E95"/>
    <w:rsid w:val="00100549"/>
    <w:rsid w:val="00101D7A"/>
    <w:rsid w:val="00126298"/>
    <w:rsid w:val="00165D07"/>
    <w:rsid w:val="001D0A8E"/>
    <w:rsid w:val="001D1E84"/>
    <w:rsid w:val="001F512A"/>
    <w:rsid w:val="002105B6"/>
    <w:rsid w:val="00246FBD"/>
    <w:rsid w:val="00270BE1"/>
    <w:rsid w:val="00272689"/>
    <w:rsid w:val="00280AB1"/>
    <w:rsid w:val="002A62B6"/>
    <w:rsid w:val="002D1C6A"/>
    <w:rsid w:val="002D3204"/>
    <w:rsid w:val="002F009B"/>
    <w:rsid w:val="002F6AAC"/>
    <w:rsid w:val="0030005C"/>
    <w:rsid w:val="003003A8"/>
    <w:rsid w:val="003037AC"/>
    <w:rsid w:val="00303A91"/>
    <w:rsid w:val="0031195C"/>
    <w:rsid w:val="00312D01"/>
    <w:rsid w:val="0031539D"/>
    <w:rsid w:val="00327FFA"/>
    <w:rsid w:val="00331A85"/>
    <w:rsid w:val="0033376B"/>
    <w:rsid w:val="003842B3"/>
    <w:rsid w:val="003A23B8"/>
    <w:rsid w:val="0041281E"/>
    <w:rsid w:val="00417075"/>
    <w:rsid w:val="00417A3C"/>
    <w:rsid w:val="0042010A"/>
    <w:rsid w:val="004215FC"/>
    <w:rsid w:val="00440002"/>
    <w:rsid w:val="004508A6"/>
    <w:rsid w:val="0045233F"/>
    <w:rsid w:val="00461B78"/>
    <w:rsid w:val="00493D0F"/>
    <w:rsid w:val="004F5800"/>
    <w:rsid w:val="00515E4E"/>
    <w:rsid w:val="00577475"/>
    <w:rsid w:val="00583B22"/>
    <w:rsid w:val="005A2BA6"/>
    <w:rsid w:val="005A4B9F"/>
    <w:rsid w:val="005B7A2C"/>
    <w:rsid w:val="005E068C"/>
    <w:rsid w:val="005F7EAA"/>
    <w:rsid w:val="00601E87"/>
    <w:rsid w:val="00645627"/>
    <w:rsid w:val="006528EB"/>
    <w:rsid w:val="00653454"/>
    <w:rsid w:val="00685E35"/>
    <w:rsid w:val="006C5923"/>
    <w:rsid w:val="00700D08"/>
    <w:rsid w:val="007555AE"/>
    <w:rsid w:val="0076016F"/>
    <w:rsid w:val="00762C08"/>
    <w:rsid w:val="007A53C3"/>
    <w:rsid w:val="007B488C"/>
    <w:rsid w:val="007D6AE3"/>
    <w:rsid w:val="007E15EE"/>
    <w:rsid w:val="007E3140"/>
    <w:rsid w:val="007F5A9D"/>
    <w:rsid w:val="007F69BF"/>
    <w:rsid w:val="00826A39"/>
    <w:rsid w:val="008405FF"/>
    <w:rsid w:val="0085044A"/>
    <w:rsid w:val="0087288E"/>
    <w:rsid w:val="008977E3"/>
    <w:rsid w:val="008B10F6"/>
    <w:rsid w:val="008D7445"/>
    <w:rsid w:val="008F6FC7"/>
    <w:rsid w:val="00916276"/>
    <w:rsid w:val="00925C13"/>
    <w:rsid w:val="00927486"/>
    <w:rsid w:val="009502CA"/>
    <w:rsid w:val="00960E10"/>
    <w:rsid w:val="009627A4"/>
    <w:rsid w:val="00963575"/>
    <w:rsid w:val="00986046"/>
    <w:rsid w:val="009A423E"/>
    <w:rsid w:val="009C4626"/>
    <w:rsid w:val="009C7FEC"/>
    <w:rsid w:val="00A203F5"/>
    <w:rsid w:val="00A21CF5"/>
    <w:rsid w:val="00A30E62"/>
    <w:rsid w:val="00A409D6"/>
    <w:rsid w:val="00A8170F"/>
    <w:rsid w:val="00A94662"/>
    <w:rsid w:val="00AA7289"/>
    <w:rsid w:val="00AB0832"/>
    <w:rsid w:val="00AE0724"/>
    <w:rsid w:val="00AE6150"/>
    <w:rsid w:val="00B359B6"/>
    <w:rsid w:val="00B374D2"/>
    <w:rsid w:val="00B40891"/>
    <w:rsid w:val="00B53888"/>
    <w:rsid w:val="00B61E91"/>
    <w:rsid w:val="00B72567"/>
    <w:rsid w:val="00B842FD"/>
    <w:rsid w:val="00B848BA"/>
    <w:rsid w:val="00BD44B5"/>
    <w:rsid w:val="00BE7A51"/>
    <w:rsid w:val="00BF2EA8"/>
    <w:rsid w:val="00BF3925"/>
    <w:rsid w:val="00C02DE7"/>
    <w:rsid w:val="00C05497"/>
    <w:rsid w:val="00C14564"/>
    <w:rsid w:val="00C21097"/>
    <w:rsid w:val="00C7673C"/>
    <w:rsid w:val="00CA4363"/>
    <w:rsid w:val="00D21EBD"/>
    <w:rsid w:val="00D321A5"/>
    <w:rsid w:val="00D72C40"/>
    <w:rsid w:val="00D94DE0"/>
    <w:rsid w:val="00DC2F35"/>
    <w:rsid w:val="00DD2AAC"/>
    <w:rsid w:val="00DD57A5"/>
    <w:rsid w:val="00DF107D"/>
    <w:rsid w:val="00E0662C"/>
    <w:rsid w:val="00E4376C"/>
    <w:rsid w:val="00E618EB"/>
    <w:rsid w:val="00E711CA"/>
    <w:rsid w:val="00E75B78"/>
    <w:rsid w:val="00E9205E"/>
    <w:rsid w:val="00ED3965"/>
    <w:rsid w:val="00ED759B"/>
    <w:rsid w:val="00EE12FF"/>
    <w:rsid w:val="00F0510E"/>
    <w:rsid w:val="00F20CAE"/>
    <w:rsid w:val="00F422D5"/>
    <w:rsid w:val="00F42648"/>
    <w:rsid w:val="00F537B7"/>
    <w:rsid w:val="00F82604"/>
    <w:rsid w:val="00FB7CF0"/>
    <w:rsid w:val="00FC6E3A"/>
    <w:rsid w:val="01094132"/>
    <w:rsid w:val="014852B3"/>
    <w:rsid w:val="028A4DC2"/>
    <w:rsid w:val="069F5975"/>
    <w:rsid w:val="097D1872"/>
    <w:rsid w:val="0B027B08"/>
    <w:rsid w:val="0BAB3447"/>
    <w:rsid w:val="0C7E427E"/>
    <w:rsid w:val="0D9159CB"/>
    <w:rsid w:val="0F4B602A"/>
    <w:rsid w:val="123D6042"/>
    <w:rsid w:val="154A2A83"/>
    <w:rsid w:val="19A50261"/>
    <w:rsid w:val="19BA30D3"/>
    <w:rsid w:val="1A0738C1"/>
    <w:rsid w:val="1C4C0F2C"/>
    <w:rsid w:val="1F0E3240"/>
    <w:rsid w:val="21C43A0A"/>
    <w:rsid w:val="25AA69EB"/>
    <w:rsid w:val="29A0718A"/>
    <w:rsid w:val="2A2527D2"/>
    <w:rsid w:val="2B5D23F9"/>
    <w:rsid w:val="2D2D1AFF"/>
    <w:rsid w:val="2FB77156"/>
    <w:rsid w:val="32EA73D6"/>
    <w:rsid w:val="3700570C"/>
    <w:rsid w:val="378025DA"/>
    <w:rsid w:val="38406CB4"/>
    <w:rsid w:val="39462149"/>
    <w:rsid w:val="3D582E30"/>
    <w:rsid w:val="3DFC181A"/>
    <w:rsid w:val="40AD06B3"/>
    <w:rsid w:val="46827129"/>
    <w:rsid w:val="46F46A9B"/>
    <w:rsid w:val="474657FE"/>
    <w:rsid w:val="494E76AA"/>
    <w:rsid w:val="4C6F2CC0"/>
    <w:rsid w:val="52036DC7"/>
    <w:rsid w:val="5B1A5DBB"/>
    <w:rsid w:val="5BE52106"/>
    <w:rsid w:val="5BF1297E"/>
    <w:rsid w:val="626F4CE8"/>
    <w:rsid w:val="66581FD3"/>
    <w:rsid w:val="673F7723"/>
    <w:rsid w:val="676D5D3F"/>
    <w:rsid w:val="68194774"/>
    <w:rsid w:val="6AC45DE2"/>
    <w:rsid w:val="6B3577C8"/>
    <w:rsid w:val="6B4A0B9A"/>
    <w:rsid w:val="6C2052C5"/>
    <w:rsid w:val="6D546285"/>
    <w:rsid w:val="6ECF78C3"/>
    <w:rsid w:val="6FF373A0"/>
    <w:rsid w:val="76023FD2"/>
    <w:rsid w:val="78083E12"/>
    <w:rsid w:val="785A09B6"/>
    <w:rsid w:val="79F005DE"/>
    <w:rsid w:val="7AD422DF"/>
    <w:rsid w:val="7B3E2FDB"/>
    <w:rsid w:val="7C296178"/>
    <w:rsid w:val="7D140B97"/>
    <w:rsid w:val="7DCA33B7"/>
    <w:rsid w:val="7FBA1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CB1C9"/>
  <w15:docId w15:val="{22C128E6-94F5-49ED-BFB2-62865996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autoRedefine/>
    <w:qFormat/>
    <w:pPr>
      <w:spacing w:line="440" w:lineRule="exact"/>
      <w:ind w:firstLine="555"/>
      <w:outlineLvl w:val="0"/>
    </w:pPr>
    <w:rPr>
      <w:rFonts w:ascii="仿宋_GB2312" w:eastAsia="仿宋_GB2312"/>
      <w:kern w:val="0"/>
      <w:sz w:val="28"/>
      <w:szCs w:val="20"/>
    </w:rPr>
  </w:style>
  <w:style w:type="paragraph" w:styleId="a4">
    <w:name w:val="footer"/>
    <w:basedOn w:val="a"/>
    <w:link w:val="a5"/>
    <w:autoRedefine/>
    <w:uiPriority w:val="99"/>
    <w:unhideWhenUsed/>
    <w:qFormat/>
    <w:pPr>
      <w:tabs>
        <w:tab w:val="center" w:pos="4153"/>
        <w:tab w:val="right" w:pos="8306"/>
      </w:tabs>
      <w:snapToGrid w:val="0"/>
      <w:jc w:val="left"/>
    </w:pPr>
    <w:rPr>
      <w:sz w:val="18"/>
      <w:szCs w:val="18"/>
    </w:rPr>
  </w:style>
  <w:style w:type="paragraph" w:styleId="a6">
    <w:name w:val="header"/>
    <w:basedOn w:val="a"/>
    <w:link w:val="a7"/>
    <w:autoRedefine/>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kern w:val="0"/>
      <w:sz w:val="24"/>
    </w:rPr>
  </w:style>
  <w:style w:type="table" w:styleId="a9">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Pr>
      <w:b/>
    </w:rPr>
  </w:style>
  <w:style w:type="character" w:styleId="ab">
    <w:name w:val="Hyperlink"/>
    <w:basedOn w:val="a0"/>
    <w:autoRedefine/>
    <w:uiPriority w:val="99"/>
    <w:semiHidden/>
    <w:unhideWhenUsed/>
    <w:qFormat/>
    <w:rPr>
      <w:color w:val="0000FF"/>
      <w:u w:val="single"/>
    </w:rPr>
  </w:style>
  <w:style w:type="character" w:customStyle="1" w:styleId="a7">
    <w:name w:val="页眉 字符"/>
    <w:basedOn w:val="a0"/>
    <w:link w:val="a6"/>
    <w:autoRedefine/>
    <w:qFormat/>
    <w:rPr>
      <w:rFonts w:ascii="Times New Roman" w:eastAsia="宋体" w:hAnsi="Times New Roman" w:cs="Times New Roman"/>
      <w:sz w:val="18"/>
      <w:szCs w:val="18"/>
    </w:rPr>
  </w:style>
  <w:style w:type="character" w:customStyle="1" w:styleId="a5">
    <w:name w:val="页脚 字符"/>
    <w:basedOn w:val="a0"/>
    <w:link w:val="a4"/>
    <w:autoRedefine/>
    <w:uiPriority w:val="99"/>
    <w:qFormat/>
    <w:rPr>
      <w:rFonts w:ascii="Times New Roman" w:eastAsia="宋体" w:hAnsi="Times New Roman" w:cs="Times New Roman"/>
      <w:sz w:val="18"/>
      <w:szCs w:val="18"/>
    </w:rPr>
  </w:style>
  <w:style w:type="paragraph" w:styleId="ac">
    <w:name w:val="List Paragraph"/>
    <w:basedOn w:val="a"/>
    <w:autoRedefine/>
    <w:uiPriority w:val="34"/>
    <w:qFormat/>
    <w:pPr>
      <w:ind w:firstLineChars="200" w:firstLine="420"/>
    </w:pPr>
  </w:style>
  <w:style w:type="paragraph" w:customStyle="1" w:styleId="ad">
    <w:name w:val="段"/>
    <w:autoRedefine/>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styleId="ae">
    <w:name w:val="Balloon Text"/>
    <w:basedOn w:val="a"/>
    <w:link w:val="af"/>
    <w:uiPriority w:val="99"/>
    <w:semiHidden/>
    <w:unhideWhenUsed/>
    <w:rsid w:val="005A2BA6"/>
    <w:rPr>
      <w:sz w:val="18"/>
      <w:szCs w:val="18"/>
    </w:rPr>
  </w:style>
  <w:style w:type="character" w:customStyle="1" w:styleId="af">
    <w:name w:val="批注框文本 字符"/>
    <w:basedOn w:val="a0"/>
    <w:link w:val="ae"/>
    <w:uiPriority w:val="99"/>
    <w:semiHidden/>
    <w:rsid w:val="005A2BA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cchina.org.cn/archiver/ccchinacn/UpFile/Files/Default/2015122310160390525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cchina.org.cn/archiver/ccchinacn/UpFile/Files/Default/2015122310165387911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498</Words>
  <Characters>2844</Characters>
  <Application>Microsoft Office Word</Application>
  <DocSecurity>0</DocSecurity>
  <Lines>23</Lines>
  <Paragraphs>6</Paragraphs>
  <ScaleCrop>false</ScaleCrop>
  <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wxy</cp:lastModifiedBy>
  <cp:revision>10</cp:revision>
  <dcterms:created xsi:type="dcterms:W3CDTF">2023-12-06T09:21:00Z</dcterms:created>
  <dcterms:modified xsi:type="dcterms:W3CDTF">2024-08-12T02:55:00Z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C9B818CA1525426790E2FEB6A88CA11A_13</vt:lpwstr>
  </property>
</Properties>
</file>